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07DF0" w14:textId="77777777" w:rsidR="003E3489" w:rsidRDefault="00405CD3">
      <w:pPr>
        <w:spacing w:after="240"/>
        <w:jc w:val="center"/>
      </w:pPr>
      <w:r>
        <w:rPr>
          <w:b/>
          <w:bCs/>
          <w:sz w:val="28"/>
          <w:szCs w:val="28"/>
        </w:rPr>
        <w:t>Aircraft Wastewater Surveillance for Airport Biosecurity: When Does Early Warning Deliver Value?</w:t>
      </w:r>
    </w:p>
    <w:p w14:paraId="49407DF1" w14:textId="77777777" w:rsidR="003E3489" w:rsidRDefault="00405CD3">
      <w:pPr>
        <w:spacing w:after="160"/>
        <w:jc w:val="both"/>
      </w:pPr>
      <w:r>
        <w:rPr>
          <w:i/>
          <w:iCs/>
          <w:sz w:val="24"/>
          <w:szCs w:val="24"/>
        </w:rPr>
        <w:t>AIRCRAFT WBE SURVEILLANCE: VALUE OF EARLY WARNING</w:t>
      </w:r>
    </w:p>
    <w:p w14:paraId="49407DF2" w14:textId="77777777" w:rsidR="003E3489" w:rsidRDefault="00405CD3">
      <w:pPr>
        <w:spacing w:after="160"/>
        <w:jc w:val="both"/>
      </w:pPr>
      <w:r>
        <w:rPr>
          <w:i/>
          <w:iCs/>
          <w:sz w:val="24"/>
          <w:szCs w:val="24"/>
        </w:rPr>
        <w:t>Kainat Hussain, Paul Watt, Mans Shapshak, Tony Fitzgerald</w:t>
      </w:r>
    </w:p>
    <w:p w14:paraId="49407DF3" w14:textId="77777777" w:rsidR="003E3489" w:rsidRDefault="00405CD3">
      <w:pPr>
        <w:spacing w:after="160"/>
        <w:jc w:val="both"/>
      </w:pPr>
      <w:r>
        <w:rPr>
          <w:i/>
          <w:iCs/>
          <w:sz w:val="24"/>
          <w:szCs w:val="24"/>
        </w:rPr>
        <w:t>[Affiliation(s) to be completed]</w:t>
      </w:r>
    </w:p>
    <w:p w14:paraId="49407DF4" w14:textId="77777777" w:rsidR="003E3489" w:rsidRDefault="00405CD3">
      <w:pPr>
        <w:spacing w:after="160"/>
        <w:jc w:val="both"/>
      </w:pPr>
      <w:r>
        <w:rPr>
          <w:i/>
          <w:iCs/>
          <w:sz w:val="24"/>
          <w:szCs w:val="24"/>
        </w:rPr>
        <w:t>Corresponding author: [Name, affiliation, email, and postal address to be completed]</w:t>
      </w:r>
    </w:p>
    <w:p w14:paraId="49407DF5" w14:textId="77777777" w:rsidR="003E3489" w:rsidRDefault="00405CD3">
      <w:pPr>
        <w:spacing w:after="160"/>
        <w:jc w:val="both"/>
      </w:pPr>
      <w:r>
        <w:rPr>
          <w:i/>
          <w:iCs/>
          <w:sz w:val="24"/>
          <w:szCs w:val="24"/>
        </w:rPr>
        <w:t>Abstract word count: 298 (all text including section labels; abbreviations counted as one word; numeric ranges counted as one term). Main text word count: approximately 11,700 words (Introduction through Conclusion, excluding figure captions, equations, and tables). Figures: 4. Tables: 6.</w:t>
      </w:r>
    </w:p>
    <w:p w14:paraId="49407DF6" w14:textId="77777777" w:rsidR="003E3489" w:rsidRDefault="00405CD3">
      <w:r>
        <w:rPr>
          <w:sz w:val="24"/>
        </w:rPr>
        <w:br w:type="page"/>
      </w:r>
    </w:p>
    <w:p w14:paraId="49407DF7" w14:textId="77777777" w:rsidR="003E3489" w:rsidRDefault="00405CD3">
      <w:pPr>
        <w:pStyle w:val="Heading1"/>
        <w:keepNext/>
        <w:keepLines/>
        <w:spacing w:before="240" w:after="120"/>
      </w:pPr>
      <w:r>
        <w:lastRenderedPageBreak/>
        <w:t>Abstract</w:t>
      </w:r>
    </w:p>
    <w:p w14:paraId="49407DF8" w14:textId="5E586DAE" w:rsidR="003E3489" w:rsidRDefault="00405CD3">
      <w:pPr>
        <w:spacing w:after="160"/>
        <w:jc w:val="both"/>
      </w:pPr>
      <w:r>
        <w:rPr>
          <w:sz w:val="24"/>
          <w:szCs w:val="24"/>
        </w:rPr>
        <w:t>Background. This paper presents a decision-analytic framework addressing three related questions: which passenger-screening strategy minimises expected societal cost; under what conditions wastewater-based epidemiology (WBE)-gated targeted follow-up improves on universal screening; and what conditional value earlier warning could deliver if it activated faster screening and countermeasure deployment.</w:t>
      </w:r>
    </w:p>
    <w:p w14:paraId="49407DF9" w14:textId="77777777" w:rsidR="003E3489" w:rsidRDefault="00405CD3">
      <w:pPr>
        <w:spacing w:after="160"/>
        <w:jc w:val="both"/>
      </w:pPr>
      <w:r>
        <w:rPr>
          <w:sz w:val="24"/>
          <w:szCs w:val="24"/>
        </w:rPr>
        <w:t>Methods. A pathogen-specific susceptible-infectious-recovered model was coupled to an importation-screening module and a societal cost function over a 365-day horizon. Four passenger-screening strategies were compared across six pathogens (SARS-CoV-2, influenza A/B, mpox, norovirus, Ebola, diphtheria; measles as a stress test) under deterministic analysis and probabilistic sensitivity analysis (PSA; 10,000 iterations). A WBE gate analysis evaluated targeted follow-up triggered by wastewater signals. A lead-time value analysis estimated maximum supportable annual expenditure under Scenario A (earlier airport screening only) and Scenario B (earlier screening plus domestic countermeasures), with portfolio values probability-weighted by pathogen-specific event and actionable-warning probabilities, declared as scenario assumptions.</w:t>
      </w:r>
    </w:p>
    <w:p w14:paraId="49407DFA" w14:textId="77777777" w:rsidR="003E3489" w:rsidRDefault="00405CD3">
      <w:pPr>
        <w:spacing w:after="160"/>
        <w:jc w:val="both"/>
      </w:pPr>
      <w:r>
        <w:rPr>
          <w:sz w:val="24"/>
          <w:szCs w:val="24"/>
        </w:rPr>
        <w:t>Results. High-throughput molecular testing, parameterised on the Avicena Sentinel RT-LAMP platform, was the deterministic cost-minimising strategy for all six primary pathogens (PSA probability 71.7–97.2%). Where laboratory PCR and high-throughput molecular testing shared identical diagnostic performance, cost differences were attributable to per-test cost. An aircraft WBE gate was more expensive than universal screening across most of the parameter space; competitive configurations generally required high aircraft-level detection probability and complete follow-up coverage, with the exception of norovirus with laboratory PCR follow-up, where favourable combinations were found across all follow-up coverage levels tested. At five days of actionable warning and 10,000 arriving passengers per day (base case), maximum supportable annual panel expenditure was USD 4.92 million (Scenario A: screening only) and USD 8.92 million (Scenario B: screening plus domestic countermeasures), conditional on the assumed event and warning probabilities.</w:t>
      </w:r>
    </w:p>
    <w:p w14:paraId="49407DFB" w14:textId="77777777" w:rsidR="003E3489" w:rsidRDefault="00405CD3">
      <w:pPr>
        <w:spacing w:after="160"/>
        <w:jc w:val="both"/>
      </w:pPr>
      <w:r>
        <w:rPr>
          <w:sz w:val="24"/>
          <w:szCs w:val="24"/>
        </w:rPr>
        <w:t>Conclusions. The value of aircraft wastewater surveillance depends on the action it enables. WBE-gated testing was more expensive than universal screening in most explored configurations. Earlier warning could yield substantial benefits when it accelerates screening and the broader public-health response, conditional on assumed probabilities. Characterising which response pathways an operational deployment activates is the priority.</w:t>
      </w:r>
    </w:p>
    <w:p w14:paraId="49407DFC" w14:textId="77777777" w:rsidR="003E3489" w:rsidRDefault="00405CD3">
      <w:pPr>
        <w:spacing w:after="160"/>
        <w:jc w:val="both"/>
      </w:pPr>
      <w:r>
        <w:rPr>
          <w:i/>
          <w:iCs/>
          <w:sz w:val="24"/>
          <w:szCs w:val="24"/>
        </w:rPr>
        <w:t>Keywords: airport biosecurity; infectious disease importation; decision analysis; surveillance strategy; transmission modelling; cost-effectiveness; probabilistic sensitivity analysis</w:t>
      </w:r>
    </w:p>
    <w:p w14:paraId="49407DFD" w14:textId="77777777" w:rsidR="003E3489" w:rsidRDefault="00405CD3">
      <w:pPr>
        <w:pStyle w:val="Heading1"/>
        <w:keepNext/>
        <w:keepLines/>
        <w:spacing w:before="240" w:after="120"/>
      </w:pPr>
      <w:r>
        <w:t>1. Introduction</w:t>
      </w:r>
    </w:p>
    <w:p w14:paraId="49407DFE" w14:textId="77777777" w:rsidR="003E3489" w:rsidRDefault="00405CD3">
      <w:pPr>
        <w:spacing w:after="160"/>
        <w:jc w:val="both"/>
      </w:pPr>
      <w:r>
        <w:rPr>
          <w:sz w:val="24"/>
          <w:szCs w:val="24"/>
        </w:rPr>
        <w:t>International air travel compresses the time between infectious disease emergence and its arrival at any major population centre to hours or days. Hub airports connecting multiple regional networks seed secondary transmission disproportionately to their raw passenger volume (Hufnagel et al., 2004). During the earliest phase of an outbreak, imported cases contribute the largest share of total incidence. The window in which border surveillance can intercept importations before domestic transmission dominates is accordingly narrow.</w:t>
      </w:r>
    </w:p>
    <w:p w14:paraId="49407DFF" w14:textId="77777777" w:rsidR="003E3489" w:rsidRDefault="00405CD3">
      <w:pPr>
        <w:spacing w:after="160"/>
        <w:jc w:val="both"/>
      </w:pPr>
      <w:r>
        <w:rPr>
          <w:sz w:val="24"/>
          <w:szCs w:val="24"/>
        </w:rPr>
        <w:lastRenderedPageBreak/>
        <w:t>Border health surveillance is, at its core, a resource-allocation problem. Decisions about which pathogens to screen for are guided by competing frameworks: the WHO International Health Regulations (2005) prioritise novelty and cross-border spread, while burden-based approaches weigh aggregate societal impact. The two criteria do not reliably align. The 2003 SARS-CoV-1 outbreak illustrates the consequences. Fewer than 8,100 probable cases were recorded worldwide. The estimated economic cost to Asian economies alone was USD 11–18 billion; other contemporary global estimates ran considerably higher (Institute of Medicine, 2004). When case burden is low but economic consequences are severe, diagnostic performance alone is an insufficient basis for a surveillance investment decision. The present analysis addresses this gap.</w:t>
      </w:r>
    </w:p>
    <w:p w14:paraId="49407E00" w14:textId="77777777" w:rsidR="003E3489" w:rsidRDefault="00405CD3">
      <w:pPr>
        <w:spacing w:after="160"/>
        <w:jc w:val="both"/>
      </w:pPr>
      <w:r>
        <w:rPr>
          <w:sz w:val="24"/>
          <w:szCs w:val="24"/>
        </w:rPr>
        <w:t>Airports have adopted a range of surveillance modalities, from syndromic screening to high-throughput molecular platforms and pooled wastewater-based epidemiology. Most published evaluations characterise diagnostic performance in isolation: the sensitivity and specificity of a test for detecting infection in an individual traveller. This evidence is necessary but insufficient for a border health authority with a finite surveillance budget. Detecting more infections is not, by itself, evidence that a strategy is worth its cost. The relevant question is whether the downstream consequences of missed infections (expressed as societal costs) justify the strategy's operational expense.</w:t>
      </w:r>
    </w:p>
    <w:p w14:paraId="49407E01" w14:textId="77777777" w:rsidR="003E3489" w:rsidRDefault="00405CD3">
      <w:pPr>
        <w:spacing w:after="160"/>
        <w:jc w:val="both"/>
      </w:pPr>
      <w:r>
        <w:rPr>
          <w:sz w:val="24"/>
          <w:szCs w:val="24"/>
        </w:rPr>
        <w:t>Whether screening is economically worthwhile depends on factors that diagnostic studies do not separately capture: pathogen transmissibility, disease severity, arrival prevalence, and the speed of the domestic public-health response. These factors interact. A highly transmissible but mild pathogen and a severe but poorly transmissible one may each warrant screening, but for different reasons and at different cost thresholds.</w:t>
      </w:r>
    </w:p>
    <w:p w14:paraId="49407E02" w14:textId="709D42AA" w:rsidR="003E3489" w:rsidRDefault="00405CD3">
      <w:pPr>
        <w:spacing w:after="160"/>
        <w:jc w:val="both"/>
      </w:pPr>
      <w:r>
        <w:rPr>
          <w:sz w:val="24"/>
          <w:szCs w:val="24"/>
        </w:rPr>
        <w:t xml:space="preserve">Detection timing also matters. Detecting an imported infection at arrival may allow intervention before local transmission occurs. Later detection may leave some transmission pathways already established. </w:t>
      </w:r>
      <w:r w:rsidR="00755E79">
        <w:rPr>
          <w:sz w:val="24"/>
          <w:szCs w:val="24"/>
        </w:rPr>
        <w:fldChar w:fldCharType="begin"/>
      </w:r>
      <w:r w:rsidR="00755E79">
        <w:rPr>
          <w:sz w:val="24"/>
          <w:szCs w:val="24"/>
        </w:rPr>
        <w:instrText xml:space="preserve"> REF _Ref240534930 \h </w:instrText>
      </w:r>
      <w:r w:rsidR="00755E79">
        <w:rPr>
          <w:sz w:val="24"/>
          <w:szCs w:val="24"/>
        </w:rPr>
      </w:r>
      <w:r w:rsidR="00755E79">
        <w:rPr>
          <w:sz w:val="24"/>
          <w:szCs w:val="24"/>
        </w:rPr>
        <w:fldChar w:fldCharType="separate"/>
      </w:r>
      <w:r w:rsidR="00755E79" w:rsidRPr="00FE0B37">
        <w:rPr>
          <w:b/>
          <w:bCs/>
          <w:sz w:val="24"/>
        </w:rPr>
        <w:t xml:space="preserve">Figure </w:t>
      </w:r>
      <w:r w:rsidR="00755E79">
        <w:rPr>
          <w:b/>
          <w:bCs/>
          <w:noProof/>
          <w:sz w:val="24"/>
        </w:rPr>
        <w:t>1</w:t>
      </w:r>
      <w:r w:rsidR="00755E79">
        <w:rPr>
          <w:sz w:val="24"/>
          <w:szCs w:val="24"/>
        </w:rPr>
        <w:fldChar w:fldCharType="end"/>
      </w:r>
      <w:r>
        <w:rPr>
          <w:sz w:val="24"/>
          <w:szCs w:val="24"/>
        </w:rPr>
        <w:t xml:space="preserve"> illustrates this timing dependence schematically.</w:t>
      </w:r>
    </w:p>
    <w:p w14:paraId="731014CE" w14:textId="77777777" w:rsidR="00FE0B37" w:rsidRDefault="00405CD3" w:rsidP="00FE0B37">
      <w:pPr>
        <w:keepNext/>
        <w:keepLines/>
        <w:spacing w:before="160" w:after="80"/>
        <w:jc w:val="center"/>
      </w:pPr>
      <w:r>
        <w:rPr>
          <w:noProof/>
          <w:sz w:val="24"/>
        </w:rPr>
        <w:drawing>
          <wp:inline distT="0" distB="0" distL="0" distR="0" wp14:anchorId="49407FA8" wp14:editId="2C76881D">
            <wp:extent cx="5926667"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29152" cy="2134495"/>
                    </a:xfrm>
                    <a:prstGeom prst="rect">
                      <a:avLst/>
                    </a:prstGeom>
                  </pic:spPr>
                </pic:pic>
              </a:graphicData>
            </a:graphic>
          </wp:inline>
        </w:drawing>
      </w:r>
    </w:p>
    <w:p w14:paraId="49407E03" w14:textId="3DD937FC" w:rsidR="003E3489" w:rsidRDefault="00FE0B37" w:rsidP="00FE0B37">
      <w:pPr>
        <w:pStyle w:val="Caption"/>
        <w:keepLines/>
      </w:pPr>
      <w:bookmarkStart w:id="0" w:name="_Ref240534930"/>
      <w:r w:rsidRPr="00FE0B37">
        <w:rPr>
          <w:b/>
          <w:bCs/>
        </w:rPr>
        <w:t xml:space="preserve">Figure </w:t>
      </w:r>
      <w:r w:rsidRPr="00FE0B37">
        <w:rPr>
          <w:b/>
          <w:bCs/>
        </w:rPr>
        <w:fldChar w:fldCharType="begin"/>
      </w:r>
      <w:r w:rsidRPr="00FE0B37">
        <w:rPr>
          <w:b/>
          <w:bCs/>
        </w:rPr>
        <w:instrText xml:space="preserve"> SEQ Figure \* ARABIC </w:instrText>
      </w:r>
      <w:r w:rsidRPr="00FE0B37">
        <w:rPr>
          <w:b/>
          <w:bCs/>
        </w:rPr>
        <w:fldChar w:fldCharType="separate"/>
      </w:r>
      <w:r w:rsidR="009708F5">
        <w:rPr>
          <w:b/>
          <w:bCs/>
          <w:noProof/>
        </w:rPr>
        <w:t>1</w:t>
      </w:r>
      <w:r w:rsidRPr="00FE0B37">
        <w:rPr>
          <w:b/>
          <w:bCs/>
        </w:rPr>
        <w:fldChar w:fldCharType="end"/>
      </w:r>
      <w:bookmarkEnd w:id="0"/>
      <w:r w:rsidRPr="00FE0B37">
        <w:rPr>
          <w:b/>
          <w:bCs/>
        </w:rPr>
        <w:t>.</w:t>
      </w:r>
      <w:r>
        <w:t xml:space="preserve"> </w:t>
      </w:r>
      <w:r w:rsidRPr="00FE0B37">
        <w:t>Schematic illustration of how detection timing influences onward transmission following pathogen importation: (A) detection at arrival, (B) detection after local transmission has begun, and (C) no systematic screening. Transmission trees are conceptual illustrations, not model predictions, and do not represent reproduction numbers, attack rates, or case counts.</w:t>
      </w:r>
    </w:p>
    <w:p w14:paraId="49407E05" w14:textId="7658B0FF" w:rsidR="003E3489" w:rsidRDefault="00405CD3">
      <w:pPr>
        <w:spacing w:after="160"/>
        <w:jc w:val="both"/>
      </w:pPr>
      <w:r>
        <w:rPr>
          <w:sz w:val="24"/>
          <w:szCs w:val="24"/>
        </w:rPr>
        <w:t>Aircraft wastewater-based epidemiology (WBE) has attracted interest as a complement to individual passenger screening, but two distinct roles are often conflated. The first is a gate for targeted testing: a positive wastewater signal from an arriving flight triggers diagnostic screening of that flight's passengers rather than of the whole arrivals stream, concentrating testing effort</w:t>
      </w:r>
      <w:r w:rsidR="00BB7245">
        <w:rPr>
          <w:sz w:val="24"/>
          <w:szCs w:val="24"/>
        </w:rPr>
        <w:t>,</w:t>
      </w:r>
      <w:r>
        <w:rPr>
          <w:sz w:val="24"/>
          <w:szCs w:val="24"/>
        </w:rPr>
        <w:t xml:space="preserve"> and </w:t>
      </w:r>
      <w:r>
        <w:rPr>
          <w:sz w:val="24"/>
          <w:szCs w:val="24"/>
        </w:rPr>
        <w:lastRenderedPageBreak/>
        <w:t>the passenger burden that accompanies it</w:t>
      </w:r>
      <w:r w:rsidR="00BB7245">
        <w:rPr>
          <w:sz w:val="24"/>
          <w:szCs w:val="24"/>
        </w:rPr>
        <w:t xml:space="preserve">, </w:t>
      </w:r>
      <w:r>
        <w:rPr>
          <w:sz w:val="24"/>
          <w:szCs w:val="24"/>
        </w:rPr>
        <w:t>where infection is most likely. The second is an early-warning mechanism: a flight-level signal detected before individual cases are identified could in principle accelerate arrival-screening deployment and domestic countermeasure activation. These two roles have different comparators, different evidence requirements, and different conditions under which they generate value. An evaluation that conflates them will produce ambiguous conclusions; each requires a separate analysis.</w:t>
      </w:r>
    </w:p>
    <w:p w14:paraId="49407E06" w14:textId="77777777" w:rsidR="003E3489" w:rsidRDefault="00405CD3">
      <w:pPr>
        <w:spacing w:after="160"/>
        <w:jc w:val="both"/>
      </w:pPr>
      <w:r>
        <w:rPr>
          <w:sz w:val="24"/>
          <w:szCs w:val="24"/>
        </w:rPr>
        <w:t>Existing literature addresses components of this problem in isolation: the effectiveness of individual passenger screening, the concentration of importation risk on high-volume routes, and retrospective cost-effectiveness analyses for specific pathogens. Comparatively little work integrates importation risk, downstream transmission dynamics, surveillance performance, and societal economic consequences within a single reproducible framework applicable across pathogens and technologies. Published systematic reviews synthesise evidence on individual border-control measures rather than supplying this kind of integrated evaluation (Grepin, Aston and Burns, 2023).</w:t>
      </w:r>
    </w:p>
    <w:p w14:paraId="49407E07" w14:textId="77777777" w:rsidR="003E3489" w:rsidRDefault="00405CD3">
      <w:pPr>
        <w:spacing w:after="160"/>
        <w:jc w:val="both"/>
      </w:pPr>
      <w:r>
        <w:rPr>
          <w:sz w:val="24"/>
          <w:szCs w:val="24"/>
        </w:rPr>
        <w:t>This paper develops and applies such a framework to six pathogens across four candidate passenger-screening strategies: no systematic screening, rapid antigen testing, laboratory PCR, and high-throughput molecular testing. Three objectives structure the analysis. The first is to identify which screening strategy minimises expected societal cost across pathogens and under parameter uncertainty. The analysis tests sensitivity to arrival prevalence, pathogen transmissibility and severity, diagnostic performance, value of a statistical life, and domestic response capacity. The second is to characterise the conditions under which aircraft WBE, modelled as a gate for targeted follow-up testing, can compete economically with universal screening.</w:t>
      </w:r>
    </w:p>
    <w:p w14:paraId="49407E08" w14:textId="77777777" w:rsidR="003E3489" w:rsidRDefault="00405CD3">
      <w:pPr>
        <w:spacing w:after="160"/>
        <w:jc w:val="both"/>
      </w:pPr>
      <w:r>
        <w:rPr>
          <w:sz w:val="24"/>
          <w:szCs w:val="24"/>
        </w:rPr>
        <w:t>The third objective is to estimate the conditional value of earlier warning if WBE advances the timing of screening and countermeasure deployment. This is an exploratory extension, not a primary analysis. It estimates what advance warning would be worth under specified scenario assumptions. It does not establish how much warning a deployed WBE programme would deliver in practice, or how a wastewater signal would translate into a system-level response.</w:t>
      </w:r>
    </w:p>
    <w:p w14:paraId="49407E09" w14:textId="77777777" w:rsidR="003E3489" w:rsidRDefault="00405CD3">
      <w:pPr>
        <w:pStyle w:val="Heading1"/>
        <w:keepNext/>
        <w:keepLines/>
        <w:spacing w:before="240" w:after="120"/>
      </w:pPr>
      <w:r>
        <w:t>2. Methods</w:t>
      </w:r>
    </w:p>
    <w:p w14:paraId="49407E0A" w14:textId="77777777" w:rsidR="003E3489" w:rsidRDefault="00405CD3">
      <w:pPr>
        <w:pStyle w:val="Heading2"/>
        <w:keepNext/>
        <w:keepLines/>
        <w:spacing w:before="240" w:after="120"/>
      </w:pPr>
      <w:r>
        <w:t>2.1 Study design and conceptual framework</w:t>
      </w:r>
    </w:p>
    <w:p w14:paraId="49407E0B" w14:textId="0B0D3DB1" w:rsidR="003E3489" w:rsidRDefault="00405CD3">
      <w:pPr>
        <w:spacing w:after="160"/>
        <w:jc w:val="both"/>
      </w:pPr>
      <w:r>
        <w:rPr>
          <w:sz w:val="24"/>
          <w:szCs w:val="24"/>
        </w:rPr>
        <w:t>This is a deterministic decision-analytic transmission and economic model, extended with probabilistic sensitivity analysis. It is not a clinical diagnostic-validation study or an outbreak-forecasting tool. The model links six sequential stages</w:t>
      </w:r>
      <w:r w:rsidR="0045171D">
        <w:rPr>
          <w:sz w:val="24"/>
          <w:szCs w:val="24"/>
        </w:rPr>
        <w:t>:</w:t>
      </w:r>
      <w:r>
        <w:rPr>
          <w:sz w:val="24"/>
          <w:szCs w:val="24"/>
        </w:rPr>
        <w:t xml:space="preserve"> airport importation, screening, missed importations, domestic transmission, health outcomes, and societal economic cost</w:t>
      </w:r>
      <w:r w:rsidR="0045171D">
        <w:rPr>
          <w:sz w:val="24"/>
          <w:szCs w:val="24"/>
        </w:rPr>
        <w:t>,</w:t>
      </w:r>
      <w:r>
        <w:rPr>
          <w:sz w:val="24"/>
          <w:szCs w:val="24"/>
        </w:rPr>
        <w:t xml:space="preserve"> and identifies, for each pathogen scenario and prevalence condition, the surveillance strategy that minimises total expected societal cost over a fixed time horizon. The framework and its parameters are fully specified below and in Supplementary Material.</w:t>
      </w:r>
    </w:p>
    <w:p w14:paraId="49407E0C" w14:textId="77777777" w:rsidR="003E3489" w:rsidRDefault="00405CD3">
      <w:pPr>
        <w:spacing w:after="160"/>
        <w:jc w:val="both"/>
      </w:pPr>
      <w:r>
        <w:rPr>
          <w:sz w:val="24"/>
          <w:szCs w:val="24"/>
        </w:rPr>
        <w:t xml:space="preserve">Three related analyses are reported, each addressing a distinct question. The primary passenger-screening comparison (Sections 2.2–2.11) identifies which of four strategies minimises expected societal cost across six pathogens and characterises the robustness of that recommendation under parameter uncertainty. The WBE gate analysis (Section 2.7.1) evaluates a configuration in which a positive wastewater signal from an arriving flight triggers targeted individual follow-up testing of that flight's passengers; it asks whether WBE can improve on individual screening as a triage </w:t>
      </w:r>
      <w:r>
        <w:rPr>
          <w:sz w:val="24"/>
          <w:szCs w:val="24"/>
        </w:rPr>
        <w:lastRenderedPageBreak/>
        <w:t>tool. The lead-time value analysis (Section 2.7.2) asks whether, if aircraft WBE delivers advance warning before individual cases are detected, that warning would justify a given annual surveillance expenditure, under specified scenario assumptions. These three analyses use different comparators and should be read in conjunction rather than aggregated into a single verdict on wastewater surveillance.</w:t>
      </w:r>
    </w:p>
    <w:p w14:paraId="49407E0D" w14:textId="7C8E32C2" w:rsidR="003E3489" w:rsidRDefault="00685D07">
      <w:pPr>
        <w:spacing w:after="160"/>
        <w:jc w:val="both"/>
      </w:pPr>
      <w:r>
        <w:rPr>
          <w:sz w:val="24"/>
          <w:szCs w:val="24"/>
        </w:rPr>
        <w:fldChar w:fldCharType="begin"/>
      </w:r>
      <w:r>
        <w:rPr>
          <w:sz w:val="24"/>
          <w:szCs w:val="24"/>
        </w:rPr>
        <w:instrText xml:space="preserve"> REF _Ref240534897 \h </w:instrText>
      </w:r>
      <w:r>
        <w:rPr>
          <w:sz w:val="24"/>
          <w:szCs w:val="24"/>
        </w:rPr>
      </w:r>
      <w:r>
        <w:rPr>
          <w:sz w:val="24"/>
          <w:szCs w:val="24"/>
        </w:rPr>
        <w:fldChar w:fldCharType="separate"/>
      </w:r>
      <w:r w:rsidRPr="00FE0B37">
        <w:rPr>
          <w:b/>
          <w:bCs/>
          <w:sz w:val="24"/>
        </w:rPr>
        <w:t xml:space="preserve">Figure </w:t>
      </w:r>
      <w:r>
        <w:rPr>
          <w:b/>
          <w:bCs/>
          <w:noProof/>
          <w:sz w:val="24"/>
        </w:rPr>
        <w:t>2</w:t>
      </w:r>
      <w:r>
        <w:rPr>
          <w:sz w:val="24"/>
          <w:szCs w:val="24"/>
        </w:rPr>
        <w:fldChar w:fldCharType="end"/>
      </w:r>
      <w:r w:rsidR="00405CD3">
        <w:rPr>
          <w:sz w:val="24"/>
          <w:szCs w:val="24"/>
        </w:rPr>
        <w:t xml:space="preserve"> summarises this architecture. Infected arrivals pass through arrival screening into detected and missed importations. Missed importations seed domestic transmission. Resulting incident infections generate health and economic consequences, which combine with the screening programme's own cost to determine total expected societal cost. The cost-minimising strategy is selected and its robustness assessed under probabilistic sensitivity analysis.</w:t>
      </w:r>
    </w:p>
    <w:p w14:paraId="42B929BB" w14:textId="77777777" w:rsidR="00FE0B37" w:rsidRDefault="00405CD3" w:rsidP="00FE0B37">
      <w:pPr>
        <w:keepNext/>
        <w:keepLines/>
        <w:spacing w:before="160" w:after="80"/>
        <w:jc w:val="center"/>
      </w:pPr>
      <w:r>
        <w:rPr>
          <w:noProof/>
          <w:sz w:val="24"/>
        </w:rPr>
        <w:drawing>
          <wp:inline distT="0" distB="0" distL="0" distR="0" wp14:anchorId="49407FAA" wp14:editId="49407FAB">
            <wp:extent cx="4191000" cy="5540502"/>
            <wp:effectExtent l="0" t="0" r="0" b="0"/>
            <wp:docPr id="62189625" name="Picture 6218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5540502"/>
                    </a:xfrm>
                    <a:prstGeom prst="rect">
                      <a:avLst/>
                    </a:prstGeom>
                  </pic:spPr>
                </pic:pic>
              </a:graphicData>
            </a:graphic>
          </wp:inline>
        </w:drawing>
      </w:r>
    </w:p>
    <w:p w14:paraId="49407E0E" w14:textId="20E5F6F0" w:rsidR="003E3489" w:rsidRDefault="00FE0B37" w:rsidP="00FE0B37">
      <w:pPr>
        <w:pStyle w:val="Caption"/>
        <w:keepLines/>
      </w:pPr>
      <w:bookmarkStart w:id="1" w:name="_Ref240534892"/>
      <w:bookmarkStart w:id="2" w:name="_Ref240534897"/>
      <w:r w:rsidRPr="00FE0B37">
        <w:rPr>
          <w:b/>
          <w:bCs/>
        </w:rPr>
        <w:t xml:space="preserve">Figure </w:t>
      </w:r>
      <w:r w:rsidRPr="00FE0B37">
        <w:rPr>
          <w:b/>
          <w:bCs/>
        </w:rPr>
        <w:fldChar w:fldCharType="begin"/>
      </w:r>
      <w:r w:rsidRPr="00FE0B37">
        <w:rPr>
          <w:b/>
          <w:bCs/>
        </w:rPr>
        <w:instrText xml:space="preserve"> SEQ Figure \* ARABIC </w:instrText>
      </w:r>
      <w:r w:rsidRPr="00FE0B37">
        <w:rPr>
          <w:b/>
          <w:bCs/>
        </w:rPr>
        <w:fldChar w:fldCharType="separate"/>
      </w:r>
      <w:r w:rsidR="009708F5">
        <w:rPr>
          <w:b/>
          <w:bCs/>
          <w:noProof/>
        </w:rPr>
        <w:t>2</w:t>
      </w:r>
      <w:r w:rsidRPr="00FE0B37">
        <w:rPr>
          <w:b/>
          <w:bCs/>
        </w:rPr>
        <w:fldChar w:fldCharType="end"/>
      </w:r>
      <w:bookmarkEnd w:id="2"/>
      <w:r w:rsidRPr="00FE0B37">
        <w:rPr>
          <w:b/>
          <w:bCs/>
        </w:rPr>
        <w:t>.</w:t>
      </w:r>
      <w:r>
        <w:t xml:space="preserve"> </w:t>
      </w:r>
      <w:r w:rsidRPr="00FE0B37">
        <w:t>Conceptual architecture of the airport infectious-disease surveillance decision model. Infected arrivals pass through arrival screening (sensitivity Se, specificity Sp), yielding detected cases, false positives, and daily missed importations Lambda(t), which seed a domestic SIR transmission model; total expected societal cost E[C_s] across all pathways determines the cost-minimising strategy s*.</w:t>
      </w:r>
      <w:bookmarkEnd w:id="1"/>
    </w:p>
    <w:p w14:paraId="49407E10" w14:textId="77777777" w:rsidR="003E3489" w:rsidRDefault="00405CD3">
      <w:pPr>
        <w:pStyle w:val="Heading2"/>
        <w:keepNext/>
        <w:keepLines/>
        <w:spacing w:before="240" w:after="120"/>
      </w:pPr>
      <w:r>
        <w:lastRenderedPageBreak/>
        <w:t>2.2 Airport importation model</w:t>
      </w:r>
    </w:p>
    <w:p w14:paraId="49407E11" w14:textId="498B0C21" w:rsidR="003E3489" w:rsidRDefault="00405CD3">
      <w:pPr>
        <w:spacing w:after="160"/>
        <w:jc w:val="both"/>
      </w:pPr>
      <w:r>
        <w:rPr>
          <w:sz w:val="24"/>
          <w:szCs w:val="24"/>
        </w:rPr>
        <w:t xml:space="preserve">The model represents an airport receiving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vertAlign w:val="subscript"/>
              </w:rPr>
              <m:t>total</m:t>
            </m:r>
          </m:sub>
        </m:sSub>
      </m:oMath>
      <w:r>
        <w:rPr>
          <w:sz w:val="24"/>
          <w:szCs w:val="24"/>
        </w:rPr>
        <w:t xml:space="preserve"> arriving passengers per day (base case: 10,000/day), distributed across three route-risk groups (low, moderate, high) reflecting departure-country incidence. The base-case allocation places 60% of passengers in the low-risk group, 30% in the moderate-risk group and 10% in the high-risk group, with group-specific prevalence multipliers of 0.5, 1.0 and 2.0 applied to the pathogen's reference arrival prevalence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oMath>
      <w:r>
        <w:rPr>
          <w:sz w:val="24"/>
          <w:szCs w:val="24"/>
        </w:rPr>
        <w:t xml:space="preserve">. These shares and multipliers are illustrative assumptions, not empirical estimates of any airport's route composition, and are distinct from the 0.5x/1.0x/2.0x prevalence scenarios used as a sensitivity axis throughout the results (Section 2.10), which scale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oMath>
      <w:r>
        <w:rPr>
          <w:sz w:val="24"/>
          <w:szCs w:val="24"/>
        </w:rPr>
        <w:t xml:space="preserve"> itself for all passengers alike. Full specification: Supplementary Methods S1.</w:t>
      </w:r>
    </w:p>
    <w:p w14:paraId="49407E12" w14:textId="77777777" w:rsidR="003E3489" w:rsidRDefault="00405CD3">
      <w:pPr>
        <w:spacing w:after="160"/>
        <w:jc w:val="both"/>
      </w:pPr>
      <w:r>
        <w:rPr>
          <w:sz w:val="24"/>
          <w:szCs w:val="24"/>
        </w:rPr>
        <w:t>The importation model answers one question: how many infectious passengers slip through screening each day and seed the domestic epidemic? Since coverage = 1.0 throughout this analysis (complete screening of the targeted passenger group; see Supplementary Methods for the general coverage-parameter form), the daily missed-importation flow is</w:t>
      </w:r>
    </w:p>
    <w:p w14:paraId="49407E13" w14:textId="7A3D9BD6" w:rsidR="003E3489" w:rsidRDefault="00B06731">
      <w:pPr>
        <w:spacing w:before="120" w:after="120"/>
        <w:ind w:left="720" w:right="720"/>
        <w:jc w:val="center"/>
      </w:pPr>
      <m:oMathPara>
        <m:oMathParaPr>
          <m:jc m:val="center"/>
        </m:oMathParaPr>
        <m:oMath>
          <m:r>
            <m:rPr>
              <m:sty m:val="p"/>
            </m:rPr>
            <w:rPr>
              <w:rFonts w:ascii="Cambria Math" w:hAnsi="Cambria Math"/>
              <w:sz w:val="24"/>
              <w:szCs w:val="24"/>
            </w:rPr>
            <m:t>Λ</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φ</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m:rPr>
                  <m:nor/>
                </m:rPr>
                <m:t>Se</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k</m:t>
                  </m:r>
                </m:sub>
              </m:sSub>
            </m:e>
          </m:nary>
          <m:sSub>
            <m:sSubPr>
              <m:ctrlPr>
                <w:rPr>
                  <w:rFonts w:ascii="Cambria Math" w:hAnsi="Cambria Math"/>
                </w:rPr>
              </m:ctrlPr>
            </m:sSubPr>
            <m:e>
              <m:r>
                <w:rPr>
                  <w:rFonts w:ascii="Cambria Math" w:hAnsi="Cambria Math"/>
                </w:rPr>
                <m:t>m</m:t>
              </m:r>
            </m:e>
            <m:sub>
              <m:r>
                <w:rPr>
                  <w:rFonts w:ascii="Cambria Math" w:hAnsi="Cambria Math"/>
                </w:rPr>
                <m:t>k</m:t>
              </m:r>
            </m:sub>
          </m:sSub>
        </m:oMath>
      </m:oMathPara>
    </w:p>
    <w:p w14:paraId="49407E14" w14:textId="7AE14374" w:rsidR="003E3489" w:rsidRDefault="00405CD3">
      <w:pPr>
        <w:spacing w:after="160"/>
        <w:jc w:val="both"/>
      </w:pPr>
      <w:r>
        <w:rPr>
          <w:sz w:val="24"/>
          <w:szCs w:val="24"/>
        </w:rPr>
        <w:t xml:space="preserve">where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vertAlign w:val="subscript"/>
              </w:rPr>
              <m:t>total</m:t>
            </m:r>
          </m:sub>
        </m:sSub>
        <m:r>
          <w:rPr>
            <w:rFonts w:ascii="Cambria Math" w:hAnsi="Cambria Math"/>
            <w:sz w:val="24"/>
            <w:szCs w:val="24"/>
          </w:rPr>
          <m:t xml:space="preserve"> </m:t>
        </m:r>
      </m:oMath>
      <w:r>
        <w:rPr>
          <w:sz w:val="24"/>
          <w:szCs w:val="24"/>
        </w:rPr>
        <w:t xml:space="preserve">is daily arrivals (10,000/day, base case);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oMath>
      <w:r>
        <w:rPr>
          <w:sz w:val="24"/>
          <w:szCs w:val="24"/>
        </w:rPr>
        <w:t xml:space="preserve"> is arrival prevalence, the fraction of travellers infected on arrival (dimensionless); </w:t>
      </w:r>
      <m:oMath>
        <m:r>
          <w:rPr>
            <w:rFonts w:ascii="Cambria Math" w:hAnsi="Cambria Math"/>
            <w:sz w:val="24"/>
            <w:szCs w:val="24"/>
          </w:rPr>
          <m:t>φ</m:t>
        </m:r>
      </m:oMath>
      <w:r>
        <w:rPr>
          <w:sz w:val="24"/>
          <w:szCs w:val="24"/>
        </w:rPr>
        <w:t xml:space="preserve"> is the fraction of infected arrivals who are both detectable and currently infectious at the border (dimensionless); Se is the screening strategy's diagnostic sensitivity (Table 1); and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k</m:t>
            </m:r>
          </m:sub>
        </m:sSub>
      </m:oMath>
      <w:r>
        <w:rPr>
          <w:sz w:val="24"/>
          <w:szCs w:val="24"/>
        </w:rPr>
        <w:t>,</w:t>
      </w:r>
      <w:r w:rsidR="00EC119F">
        <w:rPr>
          <w:sz w:val="24"/>
          <w:szCs w:val="24"/>
        </w:rPr>
        <w:t xml:space="preserv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k</m:t>
            </m:r>
          </m:sub>
        </m:sSub>
      </m:oMath>
      <w:r>
        <w:rPr>
          <w:sz w:val="24"/>
          <w:szCs w:val="24"/>
        </w:rPr>
        <w:t xml:space="preserve"> are the passenger share and prevalence multiplier for tier k.</w:t>
      </w:r>
    </w:p>
    <w:p w14:paraId="49407E15" w14:textId="07F1996E" w:rsidR="003E3489" w:rsidRDefault="00405CD3">
      <w:pPr>
        <w:spacing w:after="160"/>
        <w:jc w:val="both"/>
      </w:pPr>
      <w:r>
        <w:rPr>
          <w:sz w:val="24"/>
          <w:szCs w:val="24"/>
        </w:rPr>
        <w:t>The excluded fraction (</w:t>
      </w:r>
      <m:oMath>
        <m:r>
          <w:rPr>
            <w:rFonts w:ascii="Cambria Math" w:hAnsi="Cambria Math"/>
            <w:sz w:val="24"/>
            <w:szCs w:val="24"/>
          </w:rPr>
          <m:t>1 - φ</m:t>
        </m:r>
      </m:oMath>
      <w:r>
        <w:rPr>
          <w:sz w:val="24"/>
          <w:szCs w:val="24"/>
        </w:rPr>
        <w:t>) covers two epidemiologically distinct groups. Pre-infectious arrivals are incubating and not yet shedding at detectable levels; they will become infectious after arrival and represent an importation pathway this model does not capture. Post-infectious arrivals are recovered and no longer capable of seeding transmission; they represent no missed pathway. The magnitude of the pre-infectious omission depends on the ratio of incubation period to total infectious period for each pathogen.</w:t>
      </w:r>
    </w:p>
    <w:p w14:paraId="49407E16" w14:textId="6221C807" w:rsidR="003E3489" w:rsidRDefault="00405CD3">
      <w:pPr>
        <w:spacing w:after="160"/>
        <w:jc w:val="both"/>
      </w:pPr>
      <w:r>
        <w:rPr>
          <w:sz w:val="24"/>
          <w:szCs w:val="24"/>
        </w:rPr>
        <w:t xml:space="preserve">Λ grows proportionally with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oMath>
      <w:r>
        <w:rPr>
          <w:sz w:val="24"/>
          <w:szCs w:val="24"/>
        </w:rPr>
        <w:t xml:space="preserve"> and </w:t>
      </w:r>
      <m:oMath>
        <m:r>
          <w:rPr>
            <w:rFonts w:ascii="Cambria Math" w:hAnsi="Cambria Math"/>
            <w:sz w:val="24"/>
            <w:szCs w:val="24"/>
          </w:rPr>
          <m:t>φ</m:t>
        </m:r>
      </m:oMath>
      <w:r>
        <w:rPr>
          <w:sz w:val="24"/>
          <w:szCs w:val="24"/>
        </w:rPr>
        <w:t xml:space="preserve">, and decreases as Se increases. The factor </w:t>
      </w:r>
      <m:oMath>
        <m:nary>
          <m:naryPr>
            <m:chr m:val="∑"/>
            <m:supHide m:val="1"/>
            <m:ctrlPr>
              <w:rPr>
                <w:rFonts w:ascii="Cambria Math" w:hAnsi="Cambria Math"/>
                <w:i/>
                <w:sz w:val="24"/>
                <w:szCs w:val="24"/>
              </w:rPr>
            </m:ctrlPr>
          </m:naryPr>
          <m:sub>
            <m:r>
              <w:rPr>
                <w:rFonts w:ascii="Cambria Math" w:hAnsi="Cambria Math"/>
                <w:sz w:val="24"/>
                <w:szCs w:val="24"/>
              </w:rPr>
              <m:t>k</m:t>
            </m:r>
          </m:sub>
          <m:sup/>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k</m:t>
                </m:r>
              </m:sub>
            </m:sSub>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k</m:t>
                </m:r>
              </m:sub>
            </m:sSub>
          </m:e>
        </m:nary>
      </m:oMath>
      <w:r>
        <w:rPr>
          <w:sz w:val="24"/>
          <w:szCs w:val="24"/>
        </w:rPr>
        <w:t xml:space="preserve"> is the risk-weighted passenger multiplier summarising how infection risk is distributed across route-risk groups. In the base case (60%/30%/10% shares, multipliers 0.5/1.0/2.0), </w:t>
      </w:r>
      <m:oMath>
        <m:nary>
          <m:naryPr>
            <m:chr m:val="∑"/>
            <m:supHide m:val="1"/>
            <m:ctrlPr>
              <w:rPr>
                <w:rFonts w:ascii="Cambria Math" w:hAnsi="Cambria Math"/>
                <w:i/>
                <w:sz w:val="24"/>
                <w:szCs w:val="24"/>
              </w:rPr>
            </m:ctrlPr>
          </m:naryPr>
          <m:sub>
            <m:r>
              <w:rPr>
                <w:rFonts w:ascii="Cambria Math" w:hAnsi="Cambria Math"/>
                <w:sz w:val="24"/>
                <w:szCs w:val="24"/>
              </w:rPr>
              <m:t>k</m:t>
            </m:r>
          </m:sub>
          <m:sup/>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k</m:t>
                </m:r>
              </m:sub>
            </m:sSub>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k</m:t>
                </m:r>
              </m:sub>
            </m:sSub>
          </m:e>
        </m:nary>
        <m:r>
          <w:rPr>
            <w:rFonts w:ascii="Cambria Math" w:hAnsi="Cambria Math"/>
            <w:sz w:val="24"/>
            <w:szCs w:val="24"/>
          </w:rPr>
          <m:t>=0.80</m:t>
        </m:r>
      </m:oMath>
      <w:r>
        <w:rPr>
          <w:sz w:val="24"/>
          <w:szCs w:val="24"/>
        </w:rPr>
        <w:t>. This weighted sum is the only route-risk quantity entering the passenger-screening analyses; the groups are resolved individually only in the aircraft wastewater gate (Section 2.7.1), where each group's rate enters a nonlinear detection probability.</w:t>
      </w:r>
    </w:p>
    <w:p w14:paraId="49407E17" w14:textId="77777777" w:rsidR="003E3489" w:rsidRDefault="00405CD3">
      <w:pPr>
        <w:pStyle w:val="Heading2"/>
        <w:keepNext/>
        <w:keepLines/>
        <w:spacing w:before="240" w:after="120"/>
      </w:pPr>
      <w:r>
        <w:t>2.3 Screening model</w:t>
      </w:r>
    </w:p>
    <w:p w14:paraId="49407E18" w14:textId="6DAC640E" w:rsidR="003E3489" w:rsidRPr="00E95808" w:rsidRDefault="00405CD3">
      <w:pPr>
        <w:spacing w:after="160"/>
        <w:jc w:val="both"/>
        <w:rPr>
          <w:sz w:val="24"/>
          <w:szCs w:val="24"/>
        </w:rPr>
      </w:pPr>
      <w:r>
        <w:rPr>
          <w:sz w:val="24"/>
          <w:szCs w:val="24"/>
        </w:rPr>
        <w:t>What does each day's screening actually catch, and what does it miss? For a given strategy, the three outcomes that matter are confirmed detections (true positives), false alarms (false positives), and infections that escape undetected (missed importations that feed into</w:t>
      </w:r>
      <w:r w:rsidR="00D15497">
        <w:rPr>
          <w:sz w:val="24"/>
          <w:szCs w:val="24"/>
        </w:rPr>
        <w:t xml:space="preserve"> </w:t>
      </w:r>
      <m:oMath>
        <m:r>
          <m:rPr>
            <m:sty m:val="p"/>
          </m:rPr>
          <w:rPr>
            <w:rFonts w:ascii="Cambria Math" w:hAnsi="Cambria Math"/>
            <w:sz w:val="24"/>
            <w:szCs w:val="24"/>
          </w:rPr>
          <m:t>Λ</m:t>
        </m:r>
      </m:oMath>
      <w:r>
        <w:rPr>
          <w:sz w:val="24"/>
          <w:szCs w:val="24"/>
        </w:rPr>
        <w:t>):</w:t>
      </w:r>
    </w:p>
    <w:p w14:paraId="49407E19" w14:textId="77777777" w:rsidR="003E3489" w:rsidRDefault="00405CD3">
      <w:pPr>
        <w:spacing w:before="120" w:after="120"/>
        <w:ind w:left="720" w:right="720"/>
        <w:jc w:val="center"/>
      </w:pPr>
      <m:oMathPara>
        <m:oMathParaPr>
          <m:jc m:val="center"/>
        </m:oMathParaPr>
        <m:oMath>
          <m:r>
            <m:rPr>
              <m:nor/>
            </m:rPr>
            <m:t>TP</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m:rPr>
              <m:nor/>
            </m:rPr>
            <m:t>Se</m:t>
          </m:r>
          <m:r>
            <m:rPr>
              <m:sty m:val="p"/>
            </m:rPr>
            <w:rPr>
              <w:rFonts w:ascii="Cambria Math" w:hAnsi="Cambria Math"/>
            </w:rPr>
            <m:t>×</m:t>
          </m:r>
          <m:r>
            <m:rPr>
              <m:nor/>
            </m:rPr>
            <m:t>coverage</m:t>
          </m:r>
        </m:oMath>
      </m:oMathPara>
    </w:p>
    <w:p w14:paraId="49407E1A" w14:textId="77777777" w:rsidR="003E3489" w:rsidRDefault="00405CD3">
      <w:pPr>
        <w:spacing w:before="120" w:after="120"/>
        <w:ind w:left="720" w:right="720"/>
        <w:jc w:val="center"/>
      </w:pPr>
      <m:oMathPara>
        <m:oMathParaPr>
          <m:jc m:val="center"/>
        </m:oMathParaPr>
        <m:oMath>
          <m:r>
            <m:rPr>
              <m:nor/>
            </m:rPr>
            <m:t>FP</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m:rPr>
                  <m:nor/>
                </m:rPr>
                <m:t>Sp</m:t>
              </m:r>
            </m:e>
          </m:d>
          <m:r>
            <m:rPr>
              <m:sty m:val="p"/>
            </m:rPr>
            <w:rPr>
              <w:rFonts w:ascii="Cambria Math" w:hAnsi="Cambria Math"/>
            </w:rPr>
            <m:t>×</m:t>
          </m:r>
          <m:r>
            <m:rPr>
              <m:nor/>
            </m:rPr>
            <m:t>coverage</m:t>
          </m:r>
        </m:oMath>
      </m:oMathPara>
    </w:p>
    <w:p w14:paraId="49407E1B" w14:textId="77777777" w:rsidR="003E3489" w:rsidRDefault="00405CD3">
      <w:pPr>
        <w:spacing w:before="120" w:after="120"/>
        <w:ind w:left="720" w:right="720"/>
        <w:jc w:val="center"/>
      </w:pPr>
      <m:oMathPara>
        <m:oMathParaPr>
          <m:jc m:val="center"/>
        </m:oMathParaPr>
        <m:oMath>
          <m:r>
            <m:rPr>
              <m:nor/>
            </m:rPr>
            <w:lastRenderedPageBreak/>
            <m:t>Missed</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m:rPr>
              <m:nor/>
            </m:rPr>
            <m:t>TP</m:t>
          </m:r>
        </m:oMath>
      </m:oMathPara>
    </w:p>
    <w:p w14:paraId="16D5A017" w14:textId="4BD22901" w:rsidR="003E3489" w:rsidRDefault="00405CD3">
      <w:pPr>
        <w:spacing w:after="160"/>
        <w:jc w:val="both"/>
      </w:pPr>
      <w:r>
        <w:rPr>
          <w:sz w:val="24"/>
          <w:szCs w:val="24"/>
        </w:rPr>
        <w:t xml:space="preserve">where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vertAlign w:val="subscript"/>
              </w:rPr>
              <m:t>i</m:t>
            </m:r>
          </m:sub>
        </m:sSub>
      </m:oMath>
      <w:r>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vertAlign w:val="subscript"/>
              </w:rPr>
              <m:t>u</m:t>
            </m:r>
          </m:sub>
        </m:sSub>
      </m:oMath>
      <w:r>
        <w:rPr>
          <w:sz w:val="24"/>
          <w:szCs w:val="24"/>
        </w:rPr>
        <w:t xml:space="preserve"> are the numbers of infected and uninfected arrivals per day; Se and Sp are strategy-specific sensitivity and specificity; and Missed arrivals become the daily importation flow seeding the domestic transmission model. Sensitivity is the primary performance parameter in this model: it governs how many infected arrivals are missed and therefore directly determines cumulative infections and total societal cost. Specificity determines the false-positive operational burden but does not enter the cost function; values and source citations are in Table 1, with parameterisation notes</w:t>
      </w:r>
      <w:r w:rsidR="00FD68EF">
        <w:rPr>
          <w:sz w:val="24"/>
          <w:szCs w:val="24"/>
        </w:rPr>
        <w:t>,</w:t>
      </w:r>
      <w:r>
        <w:rPr>
          <w:sz w:val="24"/>
          <w:szCs w:val="24"/>
        </w:rPr>
        <w:t xml:space="preserve"> including the rationale for applying pooled Cochrane 2020 point-of-care estimates to laboratory PCR and high-throughput molecular testing</w:t>
      </w:r>
      <w:r w:rsidR="00FD68EF">
        <w:rPr>
          <w:sz w:val="24"/>
          <w:szCs w:val="24"/>
        </w:rPr>
        <w:t xml:space="preserve">, </w:t>
      </w:r>
      <w:r>
        <w:rPr>
          <w:sz w:val="24"/>
          <w:szCs w:val="24"/>
        </w:rPr>
        <w:t>in Supplementary Table S1 and Supplementary Methods S1.</w:t>
      </w:r>
    </w:p>
    <w:p w14:paraId="1C6B4502" w14:textId="0FACC61D" w:rsidR="003E3489" w:rsidRDefault="00405CD3">
      <w:pPr>
        <w:spacing w:after="160"/>
        <w:jc w:val="both"/>
      </w:pPr>
      <w:r>
        <w:rPr>
          <w:sz w:val="24"/>
          <w:szCs w:val="24"/>
        </w:rPr>
        <w:t xml:space="preserve">RAT sensitivity in </w:t>
      </w:r>
      <w:r w:rsidR="00D15497">
        <w:rPr>
          <w:sz w:val="24"/>
          <w:szCs w:val="24"/>
        </w:rPr>
        <w:fldChar w:fldCharType="begin"/>
      </w:r>
      <w:r w:rsidR="00D15497">
        <w:rPr>
          <w:sz w:val="24"/>
          <w:szCs w:val="24"/>
        </w:rPr>
        <w:instrText xml:space="preserve"> REF _Ref240536671 \h </w:instrText>
      </w:r>
      <w:r w:rsidR="00D15497">
        <w:rPr>
          <w:sz w:val="24"/>
          <w:szCs w:val="24"/>
        </w:rPr>
      </w:r>
      <w:r w:rsidR="00D15497">
        <w:rPr>
          <w:sz w:val="24"/>
          <w:szCs w:val="24"/>
        </w:rPr>
        <w:fldChar w:fldCharType="separate"/>
      </w:r>
      <w:r w:rsidR="00D15497" w:rsidRPr="0091423C">
        <w:rPr>
          <w:b/>
          <w:bCs/>
          <w:sz w:val="24"/>
        </w:rPr>
        <w:t xml:space="preserve">Table </w:t>
      </w:r>
      <w:r w:rsidR="00D15497">
        <w:rPr>
          <w:b/>
          <w:bCs/>
          <w:noProof/>
          <w:sz w:val="24"/>
        </w:rPr>
        <w:t>1</w:t>
      </w:r>
      <w:r w:rsidR="00D15497">
        <w:rPr>
          <w:sz w:val="24"/>
          <w:szCs w:val="24"/>
        </w:rPr>
        <w:fldChar w:fldCharType="end"/>
      </w:r>
      <w:r>
        <w:rPr>
          <w:sz w:val="24"/>
          <w:szCs w:val="24"/>
        </w:rPr>
        <w:t xml:space="preserve"> (45–90%) represents author-selected scenario bounds, with a deterministic midpoint of 67.5% (arithmetic mean of bounds). These are not a pooled clinical estimate and are not claimed to be clinically validated across all modelled pathogens. The bounds are held constant across pathogens to enable comparison under common assumed screening performance; for pathogens where no commercially validated rapid antigen test has been established (mpox, diphtheria, measles), the RAT scenario is explicitly hypothetical. The upper bound and midpoint sit above available asymptomatic and traveller-population estimates referenced to RT-PCR. The underlying studies, the reference-standard dependence and the population caveats are set out in Supplementary Methods S1.</w:t>
      </w:r>
    </w:p>
    <w:p w14:paraId="49407E1F" w14:textId="4536946B" w:rsidR="003E3489" w:rsidRDefault="00405CD3">
      <w:pPr>
        <w:spacing w:after="160"/>
        <w:jc w:val="both"/>
      </w:pPr>
      <w:r>
        <w:rPr>
          <w:sz w:val="24"/>
          <w:szCs w:val="24"/>
        </w:rPr>
        <w:t xml:space="preserve">Test throughput (passengers processable per hour) is reported in </w:t>
      </w:r>
      <w:r w:rsidR="00D24287">
        <w:rPr>
          <w:sz w:val="24"/>
          <w:szCs w:val="24"/>
        </w:rPr>
        <w:fldChar w:fldCharType="begin"/>
      </w:r>
      <w:r w:rsidR="00D24287">
        <w:rPr>
          <w:sz w:val="24"/>
          <w:szCs w:val="24"/>
        </w:rPr>
        <w:instrText xml:space="preserve"> REF _Ref240536671 \h </w:instrText>
      </w:r>
      <w:r w:rsidR="00D24287">
        <w:rPr>
          <w:sz w:val="24"/>
          <w:szCs w:val="24"/>
        </w:rPr>
      </w:r>
      <w:r w:rsidR="00D24287">
        <w:rPr>
          <w:sz w:val="24"/>
          <w:szCs w:val="24"/>
        </w:rPr>
        <w:fldChar w:fldCharType="separate"/>
      </w:r>
      <w:r w:rsidR="00D24287" w:rsidRPr="0091423C">
        <w:rPr>
          <w:b/>
          <w:bCs/>
          <w:sz w:val="24"/>
        </w:rPr>
        <w:t xml:space="preserve">Table </w:t>
      </w:r>
      <w:r w:rsidR="00D24287">
        <w:rPr>
          <w:b/>
          <w:bCs/>
          <w:noProof/>
          <w:sz w:val="24"/>
        </w:rPr>
        <w:t>1</w:t>
      </w:r>
      <w:r w:rsidR="00D24287">
        <w:rPr>
          <w:sz w:val="24"/>
          <w:szCs w:val="24"/>
        </w:rPr>
        <w:fldChar w:fldCharType="end"/>
      </w:r>
      <w:r>
        <w:rPr>
          <w:sz w:val="24"/>
          <w:szCs w:val="24"/>
        </w:rPr>
        <w:t xml:space="preserve"> as a feasibility characteristic drawn from manufacturer and reference-standard </w:t>
      </w:r>
      <w:r w:rsidR="00D24287">
        <w:rPr>
          <w:sz w:val="24"/>
          <w:szCs w:val="24"/>
        </w:rPr>
        <w:t>specifications but</w:t>
      </w:r>
      <w:r>
        <w:rPr>
          <w:sz w:val="24"/>
          <w:szCs w:val="24"/>
        </w:rPr>
        <w:t xml:space="preserve"> is NOT enforced as a binding capacity constraint in the present cost calculation, which assumes the targeted passenger volume can be tested at the modelled per-test cost regardless of strategy. This materially affects interpretation of the economic comparison between laboratory PCR and high-throughput molecular testing (Section 3.3).</w:t>
      </w:r>
    </w:p>
    <w:p w14:paraId="49407E20" w14:textId="77777777" w:rsidR="003E3489" w:rsidRDefault="00405CD3">
      <w:pPr>
        <w:pStyle w:val="Heading2"/>
        <w:keepNext/>
        <w:keepLines/>
        <w:spacing w:before="240" w:after="120"/>
      </w:pPr>
      <w:r>
        <w:t>2.4 Domestic transmission model</w:t>
      </w:r>
    </w:p>
    <w:p w14:paraId="49407E21" w14:textId="6CA3387A" w:rsidR="003E3489" w:rsidRDefault="00405CD3">
      <w:pPr>
        <w:spacing w:after="160"/>
        <w:jc w:val="both"/>
      </w:pPr>
      <w:r>
        <w:rPr>
          <w:sz w:val="24"/>
          <w:szCs w:val="24"/>
        </w:rPr>
        <w:t>Missed importations (</w:t>
      </w:r>
      <m:oMath>
        <m:r>
          <w:rPr>
            <w:rFonts w:ascii="Cambria Math" w:hAnsi="Cambria Math"/>
            <w:sz w:val="24"/>
            <w:szCs w:val="24"/>
          </w:rPr>
          <m:t>λ</m:t>
        </m:r>
      </m:oMath>
      <w:r>
        <w:rPr>
          <w:sz w:val="24"/>
          <w:szCs w:val="24"/>
        </w:rPr>
        <w:t>) seed domestic transmission. The model tracks how an infection spreads once established in the downstream catchment population of N = 10,000,000 people, using a discrete-time susceptible-infectious-recovered (SIR) model (Runge-Kutta integration, daily time step). The three equations describe how susceptible people become infected, how infected people recover, and how new arrivals seed the epidemic:</w:t>
      </w:r>
    </w:p>
    <w:p w14:paraId="49407E22" w14:textId="77777777" w:rsidR="003E3489" w:rsidRDefault="00C10871">
      <w:pPr>
        <w:spacing w:before="120" w:after="120"/>
        <w:ind w:left="720" w:right="720"/>
        <w:jc w:val="center"/>
      </w:pPr>
      <m:oMathPara>
        <m:oMathParaPr>
          <m:jc m:val="center"/>
        </m:oMathParaPr>
        <m:oMath>
          <m:f>
            <m:fPr>
              <m:ctrlPr>
                <w:rPr>
                  <w:rFonts w:ascii="Cambria Math" w:hAnsi="Cambria Math"/>
                </w:rPr>
              </m:ctrlPr>
            </m:fPr>
            <m:num>
              <m:r>
                <w:rPr>
                  <w:rFonts w:ascii="Cambria Math" w:hAnsi="Cambria Math"/>
                </w:rPr>
                <m:t>dS</m:t>
              </m:r>
            </m:num>
            <m:den>
              <m:r>
                <w:rPr>
                  <w:rFonts w:ascii="Cambria Math" w:hAnsi="Cambria Math"/>
                </w:rPr>
                <m:t>dt</m:t>
              </m:r>
            </m:den>
          </m:f>
          <m:r>
            <m:rPr>
              <m:sty m:val="p"/>
            </m:rPr>
            <w:rPr>
              <w:rFonts w:ascii="Cambria Math" w:hAnsi="Cambria Math"/>
            </w:rPr>
            <m:t>=-</m:t>
          </m:r>
          <m:r>
            <w:rPr>
              <w:rFonts w:ascii="Cambria Math" w:hAnsi="Cambria Math"/>
            </w:rPr>
            <m:t>β</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I</m:t>
              </m:r>
            </m:num>
            <m:den>
              <m:r>
                <w:rPr>
                  <w:rFonts w:ascii="Cambria Math" w:hAnsi="Cambria Math"/>
                </w:rPr>
                <m:t>N</m:t>
              </m:r>
            </m:den>
          </m:f>
        </m:oMath>
      </m:oMathPara>
    </w:p>
    <w:p w14:paraId="49407E23" w14:textId="77777777" w:rsidR="003E3489" w:rsidRDefault="00C10871">
      <w:pPr>
        <w:spacing w:before="120" w:after="120"/>
        <w:ind w:left="720" w:right="720"/>
        <w:jc w:val="center"/>
      </w:pPr>
      <m:oMathPara>
        <m:oMathParaPr>
          <m:jc m:val="center"/>
        </m:oMathParaPr>
        <m:oMath>
          <m:f>
            <m:fPr>
              <m:ctrlPr>
                <w:rPr>
                  <w:rFonts w:ascii="Cambria Math" w:hAnsi="Cambria Math"/>
                </w:rPr>
              </m:ctrlPr>
            </m:fPr>
            <m:num>
              <m:r>
                <w:rPr>
                  <w:rFonts w:ascii="Cambria Math" w:hAnsi="Cambria Math"/>
                </w:rPr>
                <m:t>dI</m:t>
              </m:r>
            </m:num>
            <m:den>
              <m:r>
                <w:rPr>
                  <w:rFonts w:ascii="Cambria Math" w:hAnsi="Cambria Math"/>
                </w:rPr>
                <m:t>dt</m:t>
              </m:r>
            </m:den>
          </m:f>
          <m:r>
            <m:rPr>
              <m:sty m:val="p"/>
            </m:rPr>
            <w:rPr>
              <w:rFonts w:ascii="Cambria Math" w:hAnsi="Cambria Math"/>
            </w:rPr>
            <m:t>=</m:t>
          </m:r>
          <m:r>
            <w:rPr>
              <w:rFonts w:ascii="Cambria Math" w:hAnsi="Cambria Math"/>
            </w:rPr>
            <m:t>β</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I</m:t>
              </m:r>
            </m:num>
            <m:den>
              <m:r>
                <w:rPr>
                  <w:rFonts w:ascii="Cambria Math" w:hAnsi="Cambria Math"/>
                </w:rPr>
                <m:t>N</m:t>
              </m:r>
            </m:den>
          </m:f>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t</m:t>
              </m:r>
            </m:e>
          </m:d>
        </m:oMath>
      </m:oMathPara>
    </w:p>
    <w:p w14:paraId="49407E24" w14:textId="77777777" w:rsidR="003E3489" w:rsidRDefault="00C10871">
      <w:pPr>
        <w:spacing w:before="120" w:after="120"/>
        <w:ind w:left="720" w:right="720"/>
        <w:jc w:val="center"/>
      </w:pPr>
      <m:oMathPara>
        <m:oMathParaPr>
          <m:jc m:val="center"/>
        </m:oMathParaPr>
        <m:oMath>
          <m:f>
            <m:fPr>
              <m:ctrlPr>
                <w:rPr>
                  <w:rFonts w:ascii="Cambria Math" w:hAnsi="Cambria Math"/>
                </w:rPr>
              </m:ctrlPr>
            </m:fPr>
            <m:num>
              <m:r>
                <w:rPr>
                  <w:rFonts w:ascii="Cambria Math" w:hAnsi="Cambria Math"/>
                </w:rPr>
                <m:t>dR</m:t>
              </m:r>
            </m:num>
            <m:den>
              <m:r>
                <w:rPr>
                  <w:rFonts w:ascii="Cambria Math" w:hAnsi="Cambria Math"/>
                </w:rPr>
                <m:t>dt</m:t>
              </m:r>
            </m:den>
          </m:f>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I</m:t>
          </m:r>
        </m:oMath>
      </m:oMathPara>
    </w:p>
    <w:p w14:paraId="49407E25" w14:textId="77777777" w:rsidR="003E3489" w:rsidRDefault="00405CD3">
      <w:pPr>
        <w:spacing w:after="160"/>
        <w:jc w:val="both"/>
      </w:pPr>
      <w:r>
        <w:rPr>
          <w:sz w:val="24"/>
          <w:szCs w:val="24"/>
        </w:rPr>
        <w:t>where S, I, and R are the susceptible, infectious, and recovered/removed counts; gamma</w:t>
      </w:r>
      <w:r>
        <w:rPr>
          <w:sz w:val="24"/>
          <w:szCs w:val="24"/>
          <w:vertAlign w:val="subscript"/>
        </w:rPr>
        <w:t>j</w:t>
      </w:r>
      <w:r>
        <w:rPr>
          <w:sz w:val="24"/>
          <w:szCs w:val="24"/>
        </w:rPr>
        <w:t xml:space="preserve"> = 1 / D</w:t>
      </w:r>
      <w:r>
        <w:rPr>
          <w:sz w:val="24"/>
          <w:szCs w:val="24"/>
          <w:vertAlign w:val="subscript"/>
        </w:rPr>
        <w:t>j</w:t>
      </w:r>
      <w:r>
        <w:rPr>
          <w:sz w:val="24"/>
          <w:szCs w:val="24"/>
        </w:rPr>
        <w:t xml:space="preserve"> is the pathogen-specific recovery rate, with D</w:t>
      </w:r>
      <w:r>
        <w:rPr>
          <w:sz w:val="24"/>
          <w:szCs w:val="24"/>
          <w:vertAlign w:val="subscript"/>
        </w:rPr>
        <w:t>j</w:t>
      </w:r>
      <w:r>
        <w:rPr>
          <w:sz w:val="24"/>
          <w:szCs w:val="24"/>
        </w:rPr>
        <w:t xml:space="preserve"> the pathogen-specific mean infectious period (Table 2); β(t) = Rt(t) × gamma</w:t>
      </w:r>
      <w:r>
        <w:rPr>
          <w:sz w:val="24"/>
          <w:szCs w:val="24"/>
          <w:vertAlign w:val="subscript"/>
        </w:rPr>
        <w:t>j</w:t>
      </w:r>
      <w:r>
        <w:rPr>
          <w:sz w:val="24"/>
          <w:szCs w:val="24"/>
        </w:rPr>
        <w:t xml:space="preserve"> is the transmission rate, with Rt(t) the (possibly time-varying) effective reproduction number; and Λ(t) is the daily missed-importation flow</w:t>
      </w:r>
      <w:r>
        <w:rPr>
          <w:sz w:val="24"/>
          <w:szCs w:val="24"/>
        </w:rPr>
        <w:t>, which seeds the epidemic without depleting S. This is an intentional open-population formulation: missed importations represent travellers newly arriving into the catchment population from outside it, not existing local susceptibles becoming infected. N is held fixed as the transmission-rate denominator throughout.</w:t>
      </w:r>
    </w:p>
    <w:p w14:paraId="49407E26" w14:textId="35F2775E" w:rsidR="003E3489" w:rsidRDefault="00405CD3">
      <w:pPr>
        <w:spacing w:after="160"/>
        <w:jc w:val="both"/>
      </w:pPr>
      <w:r>
        <w:rPr>
          <w:sz w:val="24"/>
        </w:rPr>
        <w:t>Because imported individuals enter I without a compensating reduction elsewhere, S + I + R is not exactly conserved at N; the resulting drift is too small to affect transmission dynamics, costs or strategy selection, and is quantified per pathogen in Section 2.12 and Extended Methods S-MV.</w:t>
      </w:r>
    </w:p>
    <w:p w14:paraId="49407E27" w14:textId="77777777" w:rsidR="003E3489" w:rsidRDefault="00405CD3">
      <w:pPr>
        <w:spacing w:after="160"/>
        <w:jc w:val="both"/>
      </w:pPr>
      <w:r>
        <w:rPr>
          <w:sz w:val="24"/>
          <w:szCs w:val="24"/>
        </w:rPr>
        <w:t>Daily incidence, defined as domestic transmission-caused depletion of S on that day plus that day's imported arrivals Λ(t), is accumulated once per day to give cumulative infections over the horizon (the economic model uses this same daily-incidence quantity for cost attribution, so cost and case-count reporting are computed consistently from the same underlying quantity).</w:t>
      </w:r>
    </w:p>
    <w:p w14:paraId="49407E28" w14:textId="77777777" w:rsidR="003E3489" w:rsidRDefault="00405CD3">
      <w:pPr>
        <w:spacing w:after="160"/>
        <w:jc w:val="both"/>
      </w:pPr>
      <w:r>
        <w:rPr>
          <w:b/>
          <w:bCs/>
          <w:sz w:val="24"/>
          <w:szCs w:val="24"/>
        </w:rPr>
        <w:t>Initial conditions (lead-time value analysis).</w:t>
      </w:r>
      <w:r>
        <w:rPr>
          <w:sz w:val="24"/>
          <w:szCs w:val="24"/>
        </w:rPr>
        <w:t xml:space="preserve"> For the lead-time value comparisons in Section 2.7.2 and Section 3.10, both arms are initialised identically: S(0) = N − I(0), I(0) = Λ₀ × 1 day, R(0) = 0, where Λ₀ is the daily missed-importation flow rate computed at Se = 0 (treating screening as inactive to set the initial infected stock). Se = 0 here is an initialisation convention and does not govern the sensitivity applied once the programme is active. Both arms begin from this same state, so any difference in cumulative cost between them is attributable to lead time alone.</w:t>
      </w:r>
    </w:p>
    <w:p w14:paraId="49407E29" w14:textId="77777777" w:rsidR="003E3489" w:rsidRDefault="00405CD3">
      <w:pPr>
        <w:pStyle w:val="Heading2"/>
        <w:keepNext/>
        <w:keepLines/>
        <w:spacing w:before="240" w:after="120"/>
      </w:pPr>
      <w:r>
        <w:t>2.5 Domestic countermeasure response</w:t>
      </w:r>
    </w:p>
    <w:p w14:paraId="49407E2A" w14:textId="77777777" w:rsidR="003E3489" w:rsidRDefault="00405CD3">
      <w:pPr>
        <w:spacing w:after="160"/>
        <w:jc w:val="both"/>
      </w:pPr>
      <w:r>
        <w:rPr>
          <w:sz w:val="24"/>
          <w:szCs w:val="24"/>
        </w:rPr>
        <w:t>The model represents the public health response as a smooth reduction in Rt, beginning after authorities have had time to detect and act. The relationship between screening strategy and total cost runs through Λ (missed importations): missed importations determine how quickly I builds, which in turn determines how soon and how strongly the countermeasure activates. Formally:</w:t>
      </w:r>
    </w:p>
    <w:p w14:paraId="49407E2B" w14:textId="77777777" w:rsidR="003E3489" w:rsidRDefault="00C10871">
      <w:pPr>
        <w:spacing w:before="120" w:after="120"/>
        <w:ind w:left="720" w:right="72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t0</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t0</m:t>
                  </m:r>
                </m:sub>
              </m:sSub>
              <m:r>
                <m:rPr>
                  <m:sty m:val="p"/>
                </m:rPr>
                <w:rPr>
                  <w:rFonts w:ascii="Cambria Math" w:hAnsi="Cambria Math"/>
                </w:rPr>
                <m:t>-max</m:t>
              </m:r>
              <m:d>
                <m:dPr>
                  <m:ctrlPr>
                    <w:rPr>
                      <w:rFonts w:ascii="Cambria Math" w:hAnsi="Cambria Math"/>
                    </w:rPr>
                  </m:ctrlPr>
                </m:dPr>
                <m:e>
                  <m:r>
                    <w:rPr>
                      <w:rFonts w:ascii="Cambria Math" w:hAnsi="Cambria Math"/>
                    </w:rPr>
                    <m:t>0.3</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t0</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e>
              </m:d>
            </m:e>
          </m:d>
        </m:oMath>
      </m:oMathPara>
    </w:p>
    <w:p w14:paraId="49407E2C" w14:textId="606C6280" w:rsidR="003E3489" w:rsidRDefault="00405CD3">
      <w:pPr>
        <w:spacing w:after="160"/>
        <w:jc w:val="both"/>
      </w:pPr>
      <w:r>
        <w:rPr>
          <w:sz w:val="24"/>
          <w:szCs w:val="24"/>
        </w:rPr>
        <w:t xml:space="preserve">where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t0</m:t>
            </m:r>
          </m:sub>
        </m:sSub>
      </m:oMath>
      <w:r>
        <w:rPr>
          <w:sz w:val="24"/>
          <w:szCs w:val="24"/>
        </w:rPr>
        <w:t xml:space="preserve"> is the pathogen-specific baseline effective reproduction number (Table 2); </w:t>
      </w:r>
      <m:oMath>
        <m:r>
          <w:rPr>
            <w:rFonts w:ascii="Cambria Math" w:hAnsi="Cambria Math"/>
            <w:sz w:val="24"/>
            <w:szCs w:val="24"/>
          </w:rPr>
          <m:t>ρ</m:t>
        </m:r>
      </m:oMath>
      <w:r>
        <w:rPr>
          <w:sz w:val="24"/>
          <w:szCs w:val="24"/>
        </w:rPr>
        <w:t xml:space="preserve"> is the fractional reduction in Rt once the response is fully active (0.60, i.e. 60% reduction, base case); and the floor max(0.3, ...) prevents Rt falling below 0.30 regardless of suppression strength. The activation function a(t) rises smoothly from 0 (no suppression) to 1 (full suppression) beginning after a response-detection delay (21 days, base case) and reaching full effect over a ramp period (14 days, base case), so that Rt is fully suppressed by day 35 under base-case assumptions. The mathematical form of a(t)</w:t>
      </w:r>
      <w:r w:rsidR="00ED79E1">
        <w:rPr>
          <w:sz w:val="24"/>
          <w:szCs w:val="24"/>
        </w:rPr>
        <w:t>,</w:t>
      </w:r>
      <w:r>
        <w:rPr>
          <w:sz w:val="24"/>
          <w:szCs w:val="24"/>
        </w:rPr>
        <w:t xml:space="preserve"> a smoothstep function with zero derivative at both endpoints, ensuring a differentiable transition</w:t>
      </w:r>
      <w:r w:rsidR="00ED79E1">
        <w:rPr>
          <w:sz w:val="24"/>
          <w:szCs w:val="24"/>
        </w:rPr>
        <w:t>,</w:t>
      </w:r>
      <w:r>
        <w:rPr>
          <w:sz w:val="24"/>
          <w:szCs w:val="24"/>
        </w:rPr>
        <w:t xml:space="preserve"> is defined in Supplementary Methods S-CM.</w:t>
      </w:r>
    </w:p>
    <w:p w14:paraId="49407E2D" w14:textId="3D9CE804" w:rsidR="003E3489" w:rsidRDefault="00405CD3">
      <w:pPr>
        <w:spacing w:after="160"/>
        <w:jc w:val="both"/>
      </w:pPr>
      <w:r>
        <w:rPr>
          <w:sz w:val="24"/>
          <w:szCs w:val="24"/>
        </w:rPr>
        <w:lastRenderedPageBreak/>
        <w:t xml:space="preserve">The response-delay (21 days), ramp-duration (14 days) and reduction-strength (60%) parameters are structural assumptions, not independently literature-sourced point estimates. They are held fixed throughout, so that results are not simultaneously sensitive to horizon length and countermeasure </w:t>
      </w:r>
      <w:r w:rsidR="009366D1">
        <w:rPr>
          <w:sz w:val="24"/>
          <w:szCs w:val="24"/>
        </w:rPr>
        <w:t>timing and</w:t>
      </w:r>
      <w:r>
        <w:rPr>
          <w:sz w:val="24"/>
          <w:szCs w:val="24"/>
        </w:rPr>
        <w:t xml:space="preserve"> are tested by a structured sweep across response-delay (14/21/35/50 days), reduction-strength (40%/60%/80%) and ramp-duration (7/14/21 days) values, with an explicit no-countermeasure comparator (Sections 2.10 and 3.6).</w:t>
      </w:r>
    </w:p>
    <w:p w14:paraId="49407E2E" w14:textId="77777777" w:rsidR="003E3489" w:rsidRDefault="00405CD3">
      <w:pPr>
        <w:spacing w:after="160"/>
        <w:jc w:val="both"/>
      </w:pPr>
      <w:r>
        <w:rPr>
          <w:sz w:val="24"/>
          <w:szCs w:val="24"/>
        </w:rPr>
        <w:t>Real intervention timelines separate the date an intervention is announced, the time to reach operational capacity, the further delay before effects appear in outcome data, and the eventual magnitude of transmission reduction. The response-delay parameter is a single composite delay from the start of the simulated epidemic to the onset of Rt suppression; it is closest in spirit to the second and third of these but does not represent them separately.</w:t>
      </w:r>
    </w:p>
    <w:p w14:paraId="49407E2F" w14:textId="77777777" w:rsidR="003E3489" w:rsidRDefault="00405CD3">
      <w:pPr>
        <w:spacing w:after="160"/>
        <w:jc w:val="both"/>
      </w:pPr>
      <w:r>
        <w:rPr>
          <w:sz w:val="24"/>
          <w:szCs w:val="24"/>
        </w:rPr>
        <w:t>These assumptions are contextualised against the non-pharmaceutical-intervention timing and magnitude literature in Extended Methods S-NPI. None of the studies reviewed there provides an estimate directly transferable to airport-biosecurity-triggered domestic countermeasures, which is why the sensitivity sweep rather than a literature point estimate characterises the uncertainty.</w:t>
      </w:r>
    </w:p>
    <w:p w14:paraId="49407E30" w14:textId="77777777" w:rsidR="003E3489" w:rsidRDefault="00405CD3">
      <w:pPr>
        <w:pStyle w:val="Heading2"/>
        <w:keepNext/>
        <w:keepLines/>
        <w:spacing w:before="240" w:after="120"/>
      </w:pPr>
      <w:r>
        <w:t>2.6 Economic model</w:t>
      </w:r>
    </w:p>
    <w:p w14:paraId="49407E31" w14:textId="77777777" w:rsidR="003E3489" w:rsidRDefault="00405CD3">
      <w:pPr>
        <w:spacing w:after="160"/>
        <w:jc w:val="both"/>
      </w:pPr>
      <w:r>
        <w:rPr>
          <w:sz w:val="24"/>
          <w:szCs w:val="24"/>
        </w:rPr>
        <w:t>The analysis adopts a societal perspective. Total expected societal cost over the 365-day model horizon (Section 4.5) is the sum of five daily cost components, discounted at 3% per annum for costs accruing beyond day 30. Each cost component is attributed to that day's incident (newly infected) cases rather than to the standing infectious stock, to avoid attributing a given case's cost more than once across its infectious period. The 3% annual rate is consistent with historical WHO-CHOICE cost-effectiveness guidance. Discounting from day 30 rather than day 1 is a convention adopted for this analysis; WHO and NICE guidance on discounting addresses multi-year horizons and does not specify a within-horizon start-day threshold.</w:t>
      </w:r>
    </w:p>
    <w:p w14:paraId="49407E32" w14:textId="33D98833" w:rsidR="003E3489" w:rsidRDefault="00405CD3">
      <w:pPr>
        <w:spacing w:after="160"/>
        <w:jc w:val="both"/>
      </w:pPr>
      <w:r>
        <w:rPr>
          <w:sz w:val="24"/>
          <w:szCs w:val="24"/>
        </w:rPr>
        <w:t xml:space="preserve">Programme cost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prog</m:t>
            </m:r>
          </m:sub>
        </m:sSub>
        <m:r>
          <w:rPr>
            <w:rFonts w:ascii="Cambria Math" w:hAnsi="Cambria Math"/>
            <w:sz w:val="24"/>
            <w:szCs w:val="24"/>
          </w:rPr>
          <m:t>(t)</m:t>
        </m:r>
      </m:oMath>
      <w:r>
        <w:rPr>
          <w:sz w:val="24"/>
          <w:szCs w:val="24"/>
        </w:rPr>
        <w:t xml:space="preserve"> is the flat daily testing cost: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vertAlign w:val="subscript"/>
              </w:rPr>
              <m:t>test</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 xml:space="preserve"> </m:t>
        </m:r>
      </m:oMath>
      <w:r>
        <w:rPr>
          <w:sz w:val="24"/>
          <w:szCs w:val="24"/>
        </w:rPr>
        <w:t xml:space="preserve"> tests at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vertAlign w:val="subscript"/>
              </w:rPr>
              <m:t>test</m:t>
            </m:r>
          </m:sub>
        </m:sSub>
      </m:oMath>
      <w:r>
        <w:rPr>
          <w:sz w:val="24"/>
          <w:szCs w:val="24"/>
        </w:rPr>
        <w:t xml:space="preserve"> per test (plus WBE operating cost where applicable).</w:t>
      </w:r>
    </w:p>
    <w:p w14:paraId="49407E33" w14:textId="63EF7260" w:rsidR="003E3489" w:rsidRDefault="00405CD3">
      <w:pPr>
        <w:spacing w:after="160"/>
        <w:jc w:val="both"/>
      </w:pPr>
      <w:r>
        <w:rPr>
          <w:sz w:val="24"/>
          <w:szCs w:val="24"/>
        </w:rPr>
        <w:t>The four health-burden cost components</w:t>
      </w:r>
      <w:r w:rsidR="00ED79E1">
        <w:rPr>
          <w:sz w:val="24"/>
          <w:szCs w:val="24"/>
        </w:rPr>
        <w:t xml:space="preserve">: </w:t>
      </w:r>
      <w:r>
        <w:rPr>
          <w:sz w:val="24"/>
          <w:szCs w:val="24"/>
        </w:rPr>
        <w:t>hospitalisation, productivity loss, mortality, and incremental intensive care</w:t>
      </w:r>
      <w:r w:rsidR="00ED79E1">
        <w:rPr>
          <w:sz w:val="24"/>
          <w:szCs w:val="24"/>
        </w:rPr>
        <w:t>,</w:t>
      </w:r>
      <w:r>
        <w:rPr>
          <w:sz w:val="24"/>
          <w:szCs w:val="24"/>
        </w:rPr>
        <w:t xml:space="preserve"> each require tracking how today's new infections translate into downstream clinical burden. Hospitalisation and productivity-loss costs share the same clinical pathway (symptomatic → hospitalised). Let h(t) be the expected hospitalisation-days attributable to today's incident infections:</w:t>
      </w:r>
    </w:p>
    <w:p w14:paraId="49407E34" w14:textId="77777777" w:rsidR="003E3489" w:rsidRDefault="00405CD3">
      <w:pPr>
        <w:spacing w:before="120" w:after="120"/>
        <w:ind w:left="720" w:right="720"/>
        <w:jc w:val="center"/>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m:t>
          </m:r>
          <m:r>
            <m:rPr>
              <m:nor/>
            </m:rPr>
            <m:t>incidence</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rate</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hosp</m:t>
              </m:r>
            </m:sub>
          </m:sSub>
        </m:oMath>
      </m:oMathPara>
    </w:p>
    <w:p w14:paraId="49407E35" w14:textId="31B7256B" w:rsidR="003E3489" w:rsidRDefault="00405CD3">
      <w:pPr>
        <w:spacing w:after="160"/>
        <w:jc w:val="both"/>
      </w:pPr>
      <w:r>
        <w:rPr>
          <w:sz w:val="24"/>
          <w:szCs w:val="24"/>
        </w:rPr>
        <w:t xml:space="preserve">where incidence(t) counts new infections on day t (domestically transmitted plus imported); σ is the proportion who develop symptoms; </w:t>
      </w:r>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vertAlign w:val="subscript"/>
              </w:rPr>
              <m:t>rate</m:t>
            </m:r>
          </m:sub>
        </m:sSub>
      </m:oMath>
      <w:r>
        <w:rPr>
          <w:sz w:val="24"/>
          <w:szCs w:val="24"/>
        </w:rPr>
        <w:t xml:space="preserve"> is the fraction of symptomatic cases requiring hospitalisation; and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vertAlign w:val="subscript"/>
              </w:rPr>
              <m:t>hosp</m:t>
            </m:r>
          </m:sub>
        </m:sSub>
      </m:oMath>
      <w:r>
        <w:rPr>
          <w:sz w:val="24"/>
          <w:szCs w:val="24"/>
        </w:rPr>
        <w:t xml:space="preserve"> is mean inpatient duration (days). Both </w:t>
      </w:r>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vertAlign w:val="subscript"/>
              </w:rPr>
              <m:t>rate</m:t>
            </m:r>
          </m:sub>
        </m:sSub>
      </m:oMath>
      <w:r>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vertAlign w:val="subscript"/>
              </w:rPr>
              <m:t>hosp</m:t>
            </m:r>
          </m:sub>
        </m:sSub>
        <m:r>
          <w:rPr>
            <w:rFonts w:ascii="Cambria Math" w:hAnsi="Cambria Math"/>
            <w:sz w:val="24"/>
            <w:szCs w:val="24"/>
          </w:rPr>
          <m:t xml:space="preserve"> </m:t>
        </m:r>
      </m:oMath>
      <w:r>
        <w:rPr>
          <w:sz w:val="24"/>
          <w:szCs w:val="24"/>
        </w:rPr>
        <w:t>are pathogen-specific and are conditioned on symptomatic infection in their sources (Supplementary Table S1). The four health-burden cost components are then</w:t>
      </w:r>
    </w:p>
    <w:p w14:paraId="49407E36" w14:textId="77777777" w:rsidR="003E3489" w:rsidRDefault="00C10871">
      <w:pPr>
        <w:spacing w:before="120" w:after="120"/>
        <w:ind w:left="720" w:right="720"/>
        <w:jc w:val="center"/>
      </w:pPr>
      <m:oMathPara>
        <m:oMathParaPr>
          <m:jc m:val="center"/>
        </m:oMathParaPr>
        <m:oMath>
          <m:sSub>
            <m:sSubPr>
              <m:ctrlPr>
                <w:rPr>
                  <w:rFonts w:ascii="Cambria Math" w:hAnsi="Cambria Math"/>
                </w:rPr>
              </m:ctrlPr>
            </m:sSubPr>
            <m:e>
              <m:r>
                <w:rPr>
                  <w:rFonts w:ascii="Cambria Math" w:hAnsi="Cambria Math"/>
                </w:rPr>
                <m:t>C</m:t>
              </m:r>
            </m:e>
            <m:sub>
              <m:r>
                <m:rPr>
                  <m:nor/>
                </m:rPr>
                <m:t>hosp</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bed</m:t>
              </m:r>
            </m:sub>
          </m:sSub>
        </m:oMath>
      </m:oMathPara>
    </w:p>
    <w:p w14:paraId="49407E37" w14:textId="77777777" w:rsidR="003E3489" w:rsidRDefault="00C10871">
      <w:pPr>
        <w:spacing w:before="120" w:after="120"/>
        <w:ind w:left="720" w:right="720"/>
        <w:jc w:val="center"/>
      </w:pPr>
      <m:oMathPara>
        <m:oMathParaPr>
          <m:jc m:val="center"/>
        </m:oMathParaPr>
        <m:oMath>
          <m:sSub>
            <m:sSubPr>
              <m:ctrlPr>
                <w:rPr>
                  <w:rFonts w:ascii="Cambria Math" w:hAnsi="Cambria Math"/>
                </w:rPr>
              </m:ctrlPr>
            </m:sSubPr>
            <m:e>
              <m:r>
                <w:rPr>
                  <w:rFonts w:ascii="Cambria Math" w:hAnsi="Cambria Math"/>
                </w:rPr>
                <m:t>C</m:t>
              </m:r>
            </m:e>
            <m:sub>
              <m:r>
                <m:rPr>
                  <m:nor/>
                </m:rPr>
                <m:t>prod</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avg</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oMath>
      </m:oMathPara>
    </w:p>
    <w:p w14:paraId="49407E38" w14:textId="77777777" w:rsidR="003E3489" w:rsidRDefault="00C10871">
      <w:pPr>
        <w:spacing w:before="120" w:after="120"/>
        <w:ind w:left="720" w:right="720"/>
        <w:jc w:val="center"/>
      </w:pPr>
      <m:oMathPara>
        <m:oMathParaPr>
          <m:jc m:val="center"/>
        </m:oMathParaPr>
        <m:oMath>
          <m:sSub>
            <m:sSubPr>
              <m:ctrlPr>
                <w:rPr>
                  <w:rFonts w:ascii="Cambria Math" w:hAnsi="Cambria Math"/>
                </w:rPr>
              </m:ctrlPr>
            </m:sSubPr>
            <m:e>
              <m:r>
                <w:rPr>
                  <w:rFonts w:ascii="Cambria Math" w:hAnsi="Cambria Math"/>
                </w:rPr>
                <m:t>C</m:t>
              </m:r>
            </m:e>
            <m:sub>
              <m:r>
                <m:rPr>
                  <m:nor/>
                </m:rPr>
                <m:t>mort</m:t>
              </m:r>
            </m:sub>
          </m:sSub>
          <m:d>
            <m:dPr>
              <m:ctrlPr>
                <w:rPr>
                  <w:rFonts w:ascii="Cambria Math" w:hAnsi="Cambria Math"/>
                </w:rPr>
              </m:ctrlPr>
            </m:dPr>
            <m:e>
              <m:r>
                <w:rPr>
                  <w:rFonts w:ascii="Cambria Math" w:hAnsi="Cambria Math"/>
                </w:rPr>
                <m:t>t</m:t>
              </m:r>
            </m:e>
          </m:d>
          <m:r>
            <m:rPr>
              <m:sty m:val="p"/>
            </m:rPr>
            <w:rPr>
              <w:rFonts w:ascii="Cambria Math" w:hAnsi="Cambria Math"/>
            </w:rPr>
            <m:t>=</m:t>
          </m:r>
          <m:r>
            <m:rPr>
              <m:nor/>
            </m:rPr>
            <m:t>incidence</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r>
            <m:rPr>
              <m:sty m:val="p"/>
            </m:rPr>
            <w:rPr>
              <w:rFonts w:ascii="Cambria Math" w:hAnsi="Cambria Math"/>
            </w:rPr>
            <m:t>×</m:t>
          </m:r>
          <m:r>
            <m:rPr>
              <m:nor/>
            </m:rPr>
            <m:t>CFR</m:t>
          </m:r>
          <m:r>
            <m:rPr>
              <m:sty m:val="p"/>
            </m:rPr>
            <w:rPr>
              <w:rFonts w:ascii="Cambria Math" w:hAnsi="Cambria Math"/>
            </w:rPr>
            <m:t>×</m:t>
          </m:r>
          <m:r>
            <m:rPr>
              <m:nor/>
            </m:rPr>
            <m:t>VSL</m:t>
          </m:r>
        </m:oMath>
      </m:oMathPara>
    </w:p>
    <w:p w14:paraId="2AEEE477" w14:textId="77777777" w:rsidR="003E3489" w:rsidRDefault="00C10871">
      <w:pPr>
        <w:spacing w:before="120" w:after="120"/>
        <w:ind w:left="720" w:right="720"/>
        <w:jc w:val="center"/>
      </w:pPr>
      <m:oMathPara>
        <m:oMathParaPr>
          <m:jc m:val="center"/>
        </m:oMathParaPr>
        <m:oMath>
          <m:sSub>
            <m:sSubPr>
              <m:ctrlPr>
                <w:rPr>
                  <w:rFonts w:ascii="Cambria Math" w:hAnsi="Cambria Math"/>
                </w:rPr>
              </m:ctrlPr>
            </m:sSubPr>
            <m:e>
              <m:r>
                <w:rPr>
                  <w:rFonts w:ascii="Cambria Math" w:hAnsi="Cambria Math"/>
                </w:rPr>
                <m:t>C</m:t>
              </m:r>
            </m:e>
            <m:sub>
              <m:r>
                <m:rPr>
                  <m:nor/>
                </m:rPr>
                <m:t>icu</m:t>
              </m:r>
            </m:sub>
          </m:sSub>
          <m:d>
            <m:dPr>
              <m:ctrlPr>
                <w:rPr>
                  <w:rFonts w:ascii="Cambria Math" w:hAnsi="Cambria Math"/>
                </w:rPr>
              </m:ctrlPr>
            </m:dPr>
            <m:e>
              <m:r>
                <w:rPr>
                  <w:rFonts w:ascii="Cambria Math" w:hAnsi="Cambria Math"/>
                </w:rPr>
                <m:t>t</m:t>
              </m:r>
            </m:e>
          </m:d>
          <m:r>
            <m:rPr>
              <m:sty m:val="p"/>
            </m:rPr>
            <w:rPr>
              <w:rFonts w:ascii="Cambria Math" w:hAnsi="Cambria Math"/>
            </w:rPr>
            <m:t>=</m:t>
          </m:r>
          <m:r>
            <m:rPr>
              <m:nor/>
            </m:rPr>
            <m:t>incidence</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rate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ICU</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ICU</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ICU</m:t>
              </m:r>
            </m:sub>
          </m:sSub>
        </m:oMath>
      </m:oMathPara>
    </w:p>
    <w:p w14:paraId="49407E39" w14:textId="350EAD60" w:rsidR="003E3489" w:rsidRDefault="00405CD3">
      <w:pPr>
        <w:spacing w:after="160"/>
        <w:jc w:val="both"/>
      </w:pPr>
      <w:r>
        <w:rPr>
          <w:sz w:val="24"/>
          <w:szCs w:val="24"/>
        </w:rPr>
        <w:t xml:space="preserve">Symbol definitions: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vertAlign w:val="subscript"/>
              </w:rPr>
              <m:t>bed</m:t>
            </m:r>
          </m:sub>
        </m:sSub>
      </m:oMath>
      <w:r>
        <w:rPr>
          <w:sz w:val="24"/>
          <w:szCs w:val="24"/>
        </w:rPr>
        <w:t xml:space="preserve"> = USD 2,000/day (daily inpatient cost);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vertAlign w:val="subscript"/>
              </w:rPr>
              <m:t>avg</m:t>
            </m:r>
          </m:sub>
        </m:sSub>
        <m:r>
          <w:rPr>
            <w:rFonts w:ascii="Cambria Math" w:hAnsi="Cambria Math"/>
            <w:sz w:val="24"/>
            <w:szCs w:val="24"/>
          </w:rPr>
          <m:t xml:space="preserve"> </m:t>
        </m:r>
      </m:oMath>
      <w:r>
        <w:rPr>
          <w:sz w:val="24"/>
          <w:szCs w:val="24"/>
        </w:rPr>
        <w:t xml:space="preserve">= USD 250/day (mean daily wage); </w:t>
      </w:r>
      <m:oMath>
        <m:r>
          <w:rPr>
            <w:rFonts w:ascii="Cambria Math" w:hAnsi="Cambria Math"/>
            <w:sz w:val="24"/>
            <w:szCs w:val="24"/>
          </w:rPr>
          <m:t>ε</m:t>
        </m:r>
      </m:oMath>
      <w:r>
        <w:rPr>
          <w:sz w:val="24"/>
          <w:szCs w:val="24"/>
        </w:rPr>
        <w:t xml:space="preserve"> = 0.70 (indirect productivity multiplier, representing disruption and replacement costs beyond the hospitalised worker's own lost wages). Both c</w:t>
      </w:r>
      <w:r>
        <w:rPr>
          <w:sz w:val="24"/>
          <w:szCs w:val="24"/>
          <w:vertAlign w:val="subscript"/>
        </w:rPr>
        <w:t>bed</w:t>
      </w:r>
      <w:r>
        <w:rPr>
          <w:sz w:val="24"/>
          <w:szCs w:val="24"/>
        </w:rPr>
        <w:t xml:space="preserve"> and w</w:t>
      </w:r>
      <w:r>
        <w:rPr>
          <w:sz w:val="24"/>
          <w:szCs w:val="24"/>
          <w:vertAlign w:val="subscript"/>
        </w:rPr>
        <w:t>avg</w:t>
      </w:r>
      <w:r>
        <w:rPr>
          <w:sz w:val="24"/>
          <w:szCs w:val="24"/>
        </w:rPr>
        <w:t xml:space="preserve"> are pre-specified order-of-magnitude structural assumptions applied consistently across all pathogens and strategies; they are not jurisdiction-specific estimates. The parallel structure of C</w:t>
      </w:r>
      <w:r>
        <w:rPr>
          <w:sz w:val="24"/>
          <w:szCs w:val="24"/>
          <w:vertAlign w:val="subscript"/>
        </w:rPr>
        <w:t>hosp</w:t>
      </w:r>
      <w:r>
        <w:rPr>
          <w:sz w:val="24"/>
          <w:szCs w:val="24"/>
        </w:rPr>
        <w:t xml:space="preserve"> and C</w:t>
      </w:r>
      <w:r>
        <w:rPr>
          <w:sz w:val="24"/>
          <w:szCs w:val="24"/>
          <w:vertAlign w:val="subscript"/>
        </w:rPr>
        <w:t>prod</w:t>
      </w:r>
      <w:r>
        <w:rPr>
          <w:sz w:val="24"/>
          <w:szCs w:val="24"/>
        </w:rPr>
        <w:t xml:space="preserve"> reflects the shared clinical pathway: the same hospitalisation burden h(t) is costed at the daily bed rate and at the wage rate plus indirect multiplier respectively. In C</w:t>
      </w:r>
      <w:r>
        <w:rPr>
          <w:sz w:val="24"/>
          <w:szCs w:val="24"/>
          <w:vertAlign w:val="subscript"/>
        </w:rPr>
        <w:t>icu</w:t>
      </w:r>
      <w:r>
        <w:rPr>
          <w:sz w:val="24"/>
          <w:szCs w:val="24"/>
        </w:rPr>
        <w:t>, f</w:t>
      </w:r>
      <w:r>
        <w:rPr>
          <w:sz w:val="24"/>
          <w:szCs w:val="24"/>
          <w:vertAlign w:val="subscript"/>
        </w:rPr>
        <w:t>ICU</w:t>
      </w:r>
      <w:r>
        <w:rPr>
          <w:sz w:val="24"/>
          <w:szCs w:val="24"/>
        </w:rPr>
        <w:t xml:space="preserve"> is the modelled ICU admission fraction</w:t>
      </w:r>
      <w:r w:rsidR="009366D1">
        <w:rPr>
          <w:sz w:val="24"/>
          <w:szCs w:val="24"/>
        </w:rPr>
        <w:t>,</w:t>
      </w:r>
      <w:r>
        <w:rPr>
          <w:sz w:val="24"/>
          <w:szCs w:val="24"/>
        </w:rPr>
        <w:t xml:space="preserve"> the fraction of hospitalised cases admitted to intensive care</w:t>
      </w:r>
      <w:r w:rsidR="009366D1">
        <w:rPr>
          <w:sz w:val="24"/>
          <w:szCs w:val="24"/>
        </w:rPr>
        <w:t xml:space="preserve">, </w:t>
      </w:r>
      <w:r>
        <w:rPr>
          <w:sz w:val="24"/>
          <w:szCs w:val="24"/>
        </w:rPr>
        <w:t>and d</w:t>
      </w:r>
      <w:r>
        <w:rPr>
          <w:sz w:val="24"/>
          <w:szCs w:val="24"/>
          <w:vertAlign w:val="subscript"/>
        </w:rPr>
        <w:t>ICU</w:t>
      </w:r>
      <w:r>
        <w:rPr>
          <w:sz w:val="24"/>
          <w:szCs w:val="24"/>
        </w:rPr>
        <w:t xml:space="preserve"> is the modelled ICU length of stay; both are pathogen-specific, and the evidence and assumptions behind each are set out in Supplementary Methods S3. c</w:t>
      </w:r>
      <w:r>
        <w:rPr>
          <w:sz w:val="24"/>
          <w:szCs w:val="24"/>
          <w:vertAlign w:val="subscript"/>
        </w:rPr>
        <w:t>ICU</w:t>
      </w:r>
      <w:r>
        <w:rPr>
          <w:sz w:val="24"/>
          <w:szCs w:val="24"/>
        </w:rPr>
        <w:t xml:space="preserve"> = USD 3,000 per ICU day is an increment above the ward bed-day rate c</w:t>
      </w:r>
      <w:r>
        <w:rPr>
          <w:sz w:val="24"/>
          <w:szCs w:val="24"/>
          <w:vertAlign w:val="subscript"/>
        </w:rPr>
        <w:t>bed</w:t>
      </w:r>
      <w:r>
        <w:rPr>
          <w:sz w:val="24"/>
          <w:szCs w:val="24"/>
        </w:rPr>
        <w:t>, not a total ICU day cost, and applies only to ICU days, so ward costs are not counted twice. C</w:t>
      </w:r>
      <w:r>
        <w:rPr>
          <w:sz w:val="24"/>
          <w:szCs w:val="24"/>
          <w:vertAlign w:val="subscript"/>
        </w:rPr>
        <w:t>icu</w:t>
      </w:r>
      <w:r>
        <w:rPr>
          <w:sz w:val="24"/>
          <w:szCs w:val="24"/>
        </w:rPr>
        <w:t xml:space="preserve"> is zero for any pathogen whose ICU parameters are not specified.</w:t>
      </w:r>
    </w:p>
    <w:p w14:paraId="49B678CC" w14:textId="77777777" w:rsidR="003E3489" w:rsidRDefault="00405CD3">
      <w:pPr>
        <w:spacing w:after="160"/>
        <w:jc w:val="both"/>
      </w:pPr>
      <w:r>
        <w:rPr>
          <w:sz w:val="24"/>
          <w:szCs w:val="24"/>
        </w:rPr>
        <w:t>The mortality-denominator gate g reflects a pathogen-specific determination of whether CFR is an infection-based or case/symptomatic-based estimate. For SARS-CoV-2 and influenza A/B, the underlying sources (Levin et al., 2020; Dawood et al., 2012) report infection-fatality-type estimates, so CFR is applied directly to total incidence (gate = 1.0). For mpox, norovirus, Ebola virus disease, and diphtheria, case/symptomatic-based sourcing was judged applicable and the symptomatic-fraction gate is applied (Supplementary Table S1).</w:t>
      </w:r>
    </w:p>
    <w:p w14:paraId="7845152E" w14:textId="77777777" w:rsidR="003E3489" w:rsidRDefault="00405CD3">
      <w:pPr>
        <w:spacing w:after="160"/>
        <w:jc w:val="both"/>
      </w:pPr>
      <w:r>
        <w:rPr>
          <w:sz w:val="24"/>
          <w:szCs w:val="24"/>
        </w:rPr>
        <w:t>The incremental ICU cost rate is USD 3,000 per ICU day above the ward bed-day rate c</w:t>
      </w:r>
      <w:r>
        <w:rPr>
          <w:sz w:val="24"/>
          <w:szCs w:val="24"/>
          <w:vertAlign w:val="subscript"/>
        </w:rPr>
        <w:t>bed</w:t>
      </w:r>
      <w:r>
        <w:rPr>
          <w:sz w:val="24"/>
          <w:szCs w:val="24"/>
        </w:rPr>
        <w:t>, in 2025 US dollars. It is an increment on top of c</w:t>
      </w:r>
      <w:r>
        <w:rPr>
          <w:sz w:val="24"/>
          <w:szCs w:val="24"/>
          <w:vertAlign w:val="subscript"/>
        </w:rPr>
        <w:t>bed</w:t>
      </w:r>
      <w:r>
        <w:rPr>
          <w:sz w:val="24"/>
          <w:szCs w:val="24"/>
        </w:rPr>
        <w:t xml:space="preserve"> rather than a total ICU day cost, so ward costs are not counted twice. It is derived from the ICU-minus-ward daily cost differences reported by Dasta et al. (2005), inflated to 2025 dollars, and was tested across USD 2,000–6,000 per ICU day; the derivation is in Supplementary Methods S3. Each pathogen carries its own ICU admission fraction and length of stay; those utilisation inputs, the evidence standing of each, and the cost derivation and sensitivity results are given in Supplementary Methods S3.</w:t>
      </w:r>
    </w:p>
    <w:p w14:paraId="0D4A7535" w14:textId="77777777" w:rsidR="003E3489" w:rsidRDefault="00405CD3">
      <w:pPr>
        <w:spacing w:after="160"/>
        <w:jc w:val="both"/>
      </w:pPr>
      <w:r>
        <w:rPr>
          <w:sz w:val="24"/>
          <w:szCs w:val="24"/>
        </w:rPr>
        <w:t>The C</w:t>
      </w:r>
      <w:r>
        <w:rPr>
          <w:sz w:val="24"/>
          <w:szCs w:val="24"/>
          <w:vertAlign w:val="subscript"/>
        </w:rPr>
        <w:t>icu</w:t>
      </w:r>
      <w:r>
        <w:rPr>
          <w:sz w:val="24"/>
          <w:szCs w:val="24"/>
        </w:rPr>
        <w:t xml:space="preserve"> term is evaluated on the same basis in every analysis reported in this paper: the deterministic strategy-comparison grid and the prevalence, value-of-statistical-life and countermeasure sensitivity analyses derived from it (Supplementary Table S5), the false-positive follow-up threshold analysis, the probabilistic sensitivity analysis, the WBE exploratory threshold sweep and the lead-time value analysis at passenger and national scale. Each pathogen carries its own ICU admission fraction and length of stay (Supplementary Methods S3). The decision surface (Figure 3) is the single exception, and a structural rather than a discretionary one: its axes collapse all downstream burden into one mortality-equivalent parameter, so it carries no hospitalised cases and therefore no ICU admissions by construction. The pathogen points overlaid on it do include each pathogen's incremental ICU cost per hospitalised case.</w:t>
      </w:r>
    </w:p>
    <w:p w14:paraId="7C7F3084" w14:textId="6D3F0E2A" w:rsidR="003E3489" w:rsidRDefault="00405CD3">
      <w:pPr>
        <w:spacing w:after="160"/>
        <w:jc w:val="both"/>
      </w:pPr>
      <w:r>
        <w:rPr>
          <w:sz w:val="24"/>
          <w:szCs w:val="24"/>
        </w:rPr>
        <w:t>ICU parameters are not specified in this model for diphtheria or measles, so C</w:t>
      </w:r>
      <w:r>
        <w:rPr>
          <w:sz w:val="24"/>
          <w:szCs w:val="24"/>
          <w:vertAlign w:val="subscript"/>
        </w:rPr>
        <w:t>icu</w:t>
      </w:r>
      <w:r>
        <w:rPr>
          <w:sz w:val="24"/>
          <w:szCs w:val="24"/>
        </w:rPr>
        <w:t xml:space="preserve"> = 0 for both wherever they appear, and the cost figures reported for diphtheria (Sections 3.1–3.7) and measles (Section 3.8) contain no incremental ICU cost component. Published ICU admission fractions exist for each</w:t>
      </w:r>
      <w:r w:rsidR="00ED79E1">
        <w:rPr>
          <w:sz w:val="24"/>
          <w:szCs w:val="24"/>
        </w:rPr>
        <w:t>,</w:t>
      </w:r>
      <w:r>
        <w:rPr>
          <w:sz w:val="24"/>
          <w:szCs w:val="24"/>
        </w:rPr>
        <w:t xml:space="preserve"> 21.6% among 51 hospitalised children in Somalia for diphtheria (Ahmed et al., Trop Med Health 2026) and 7.4% among 54 hospitalised patients in a 2025 west Texas outbreak for measles (CDC MMWR 2026)</w:t>
      </w:r>
      <w:r w:rsidR="00ED79E1">
        <w:rPr>
          <w:sz w:val="24"/>
          <w:szCs w:val="24"/>
        </w:rPr>
        <w:t>,</w:t>
      </w:r>
      <w:r>
        <w:rPr>
          <w:sz w:val="24"/>
          <w:szCs w:val="24"/>
        </w:rPr>
        <w:t xml:space="preserve"> and neither is adopted here. A zero ICU cost records only that no ICU cost was applied; it is not evidence that diphtheria patients do not require intensive care. Section 4.5 </w:t>
      </w:r>
      <w:r>
        <w:rPr>
          <w:sz w:val="24"/>
          <w:szCs w:val="24"/>
        </w:rPr>
        <w:t>quantifies the diphtheria gap against plausible bounds. The base-case VSL is USD 3,500,000; three further anchors are tested in sensitivity analysis (Supplementary Table S8).</w:t>
      </w:r>
    </w:p>
    <w:p w14:paraId="49407E3B" w14:textId="77777777" w:rsidR="003E3489" w:rsidRDefault="00405CD3">
      <w:pPr>
        <w:pStyle w:val="Heading3"/>
        <w:keepNext/>
        <w:keepLines/>
        <w:spacing w:before="240" w:after="120"/>
      </w:pPr>
      <w:r>
        <w:t>2.6.1 Scope of the cost function: false-positive follow-up costs are not priced</w:t>
      </w:r>
    </w:p>
    <w:p w14:paraId="49407E3C" w14:textId="77777777" w:rsidR="003E3489" w:rsidRDefault="00405CD3">
      <w:pPr>
        <w:spacing w:after="160"/>
        <w:jc w:val="both"/>
      </w:pPr>
      <w:r>
        <w:rPr>
          <w:sz w:val="24"/>
          <w:szCs w:val="24"/>
        </w:rPr>
        <w:t>The five cost components define the complete economic objective. None is a function of test specificity or the false-positive count. C</w:t>
      </w:r>
      <w:r>
        <w:rPr>
          <w:sz w:val="24"/>
          <w:szCs w:val="24"/>
          <w:vertAlign w:val="subscript"/>
        </w:rPr>
        <w:t>prog</w:t>
      </w:r>
      <w:r>
        <w:rPr>
          <w:sz w:val="24"/>
          <w:szCs w:val="24"/>
        </w:rPr>
        <w:t xml:space="preserve"> is a flat per-test cost applied regardless of result. C</w:t>
      </w:r>
      <w:r>
        <w:rPr>
          <w:sz w:val="24"/>
          <w:szCs w:val="24"/>
          <w:vertAlign w:val="subscript"/>
        </w:rPr>
        <w:t>hosp</w:t>
      </w:r>
      <w:r>
        <w:rPr>
          <w:sz w:val="24"/>
          <w:szCs w:val="24"/>
        </w:rPr>
        <w:t>, C</w:t>
      </w:r>
      <w:r>
        <w:rPr>
          <w:sz w:val="24"/>
          <w:szCs w:val="24"/>
          <w:vertAlign w:val="subscript"/>
        </w:rPr>
        <w:t>prod</w:t>
      </w:r>
      <w:r>
        <w:rPr>
          <w:sz w:val="24"/>
          <w:szCs w:val="24"/>
        </w:rPr>
        <w:t>, and C</w:t>
      </w:r>
      <w:r>
        <w:rPr>
          <w:sz w:val="24"/>
          <w:szCs w:val="24"/>
          <w:vertAlign w:val="subscript"/>
        </w:rPr>
        <w:t>mort</w:t>
      </w:r>
      <w:r>
        <w:rPr>
          <w:sz w:val="24"/>
          <w:szCs w:val="24"/>
        </w:rPr>
        <w:t xml:space="preserve"> depend only on incidence, which is driven by missed importations and therefore by sensitivity, not specificity. Test specificity determines the reported false-positive count but does not enter the economic objective: no cost is attributed to confirmatory testing, staff time, or administrative processing downstream of the initial test.</w:t>
      </w:r>
    </w:p>
    <w:p w14:paraId="49407E3D" w14:textId="77777777" w:rsidR="003E3489" w:rsidRDefault="00405CD3">
      <w:pPr>
        <w:spacing w:after="160"/>
        <w:jc w:val="both"/>
      </w:pPr>
      <w:r>
        <w:rPr>
          <w:sz w:val="24"/>
          <w:szCs w:val="24"/>
        </w:rPr>
        <w:t>Test sensitivity, by contrast, directly determines the volume of missed importations that seed domestic transmission, and therefore has a direct effect on cumulative infections, hospitalisations, deaths, and every cost component. Within the current model, sensitivity is an economic driver; specificity is an operational output propagated through probabilistic sensitivity analysis but not a direct driver of total societal cost or strategy selection.</w:t>
      </w:r>
    </w:p>
    <w:p w14:paraId="49407E3E" w14:textId="77777777" w:rsidR="003E3489" w:rsidRDefault="00405CD3">
      <w:pPr>
        <w:spacing w:after="160"/>
        <w:jc w:val="both"/>
      </w:pPr>
      <w:r>
        <w:rPr>
          <w:sz w:val="24"/>
          <w:szCs w:val="24"/>
        </w:rPr>
        <w:t xml:space="preserve">The materiality of this exclusion was assessed directly: from the locked deterministic results in Table 3, the incremental cost per false positive required to change any reported strategy recommendation was derived for every pathogen × prevalence-scenario combination (Results 3.3.1; Supplementary Material, </w:t>
      </w:r>
      <w:r>
        <w:rPr>
          <w:rFonts w:ascii="Courier New" w:hAnsi="Courier New" w:cs="Courier New"/>
          <w:sz w:val="21"/>
          <w:szCs w:val="24"/>
        </w:rPr>
        <w:t>false_positive_breakeven.py</w:t>
      </w:r>
      <w:r>
        <w:rPr>
          <w:sz w:val="24"/>
          <w:szCs w:val="24"/>
        </w:rPr>
        <w:t xml:space="preserve"> and </w:t>
      </w:r>
      <w:r>
        <w:rPr>
          <w:rFonts w:ascii="Courier New" w:hAnsi="Courier New" w:cs="Courier New"/>
          <w:sz w:val="21"/>
          <w:szCs w:val="24"/>
        </w:rPr>
        <w:t>results/false_positive_breakeven.csv</w:t>
      </w:r>
      <w:r>
        <w:rPr>
          <w:sz w:val="24"/>
          <w:szCs w:val="24"/>
        </w:rPr>
        <w:t>). This threshold analysis is a post-hoc derivation from already-computed outputs; it does not modify the epidemiological model, the cost function, or any parameter.</w:t>
      </w:r>
    </w:p>
    <w:p w14:paraId="49407E3F" w14:textId="77777777" w:rsidR="003E3489" w:rsidRDefault="00405CD3">
      <w:pPr>
        <w:pStyle w:val="Heading2"/>
        <w:keepNext/>
        <w:keepLines/>
        <w:spacing w:before="240" w:after="120"/>
      </w:pPr>
      <w:r>
        <w:t>2.7 Surveillance strategies</w:t>
      </w:r>
    </w:p>
    <w:p w14:paraId="49407E40" w14:textId="77777777" w:rsidR="003E3489" w:rsidRDefault="00405CD3">
      <w:pPr>
        <w:spacing w:after="160"/>
        <w:jc w:val="both"/>
      </w:pPr>
      <w:r>
        <w:rPr>
          <w:sz w:val="24"/>
          <w:szCs w:val="24"/>
        </w:rPr>
        <w:t>Four primary strategies were compared: no systematic screening; rapid antigen testing (RAT); laboratory PCR; and high-throughput molecular testing. The high-throughput molecular-testing scenario was parameterised using the performance and cost characteristics of the Avicena Sentinel RT-LAMP platform.</w:t>
      </w:r>
    </w:p>
    <w:p w14:paraId="49407E41" w14:textId="77777777" w:rsidR="003E3489" w:rsidRDefault="00405CD3">
      <w:pPr>
        <w:spacing w:after="160"/>
        <w:jc w:val="both"/>
      </w:pPr>
      <w:r>
        <w:rPr>
          <w:sz w:val="24"/>
          <w:szCs w:val="24"/>
        </w:rPr>
        <w:t>Laboratory PCR and high-throughput molecular testing were assigned identical sensitivity (95–99%) and specificity (97.3–99.5%) ranges, reflecting a comparison between two molecular modalities of comparable analytical performance differentiated by cost per test (PCR: USD 50–150; high-throughput molecular: USD 10–30) and by throughput as a feasibility descriptor rather than an enforced constraint. Deterministic analyses used each range's arithmetic midpoint (sensitivity 97%, specificity 98.4%) as the point estimate. Probabilistic sensitivity analysis sampled sensitivity and specificity from these same ranges identically for both modalities each iteration.</w:t>
      </w:r>
    </w:p>
    <w:p w14:paraId="49407E42" w14:textId="77777777" w:rsidR="003E3489" w:rsidRDefault="00405CD3">
      <w:pPr>
        <w:spacing w:after="160"/>
        <w:jc w:val="both"/>
      </w:pPr>
      <w:r>
        <w:rPr>
          <w:sz w:val="24"/>
          <w:szCs w:val="24"/>
        </w:rPr>
        <w:t xml:space="preserve">Sentinel RT-LAMP performance values are manufacturer-reported (Avicena Systems Limited). One peer-reviewed evaluation of the Sentinel/Hayat system exists (Dewhurst et al., Sci Rep 2022;12:5936), reporting approximately 98.7% sensitivity and 97.6% specificity at the primary 22-minute analytical cutoff, point estimates broadly consistent with the ranges used here. However, that evaluation's authorship included multiple Avicena-affiliated investigators, including company founders; it does not constitute independent third-party validation, and no </w:t>
      </w:r>
      <w:r>
        <w:rPr>
          <w:sz w:val="24"/>
          <w:szCs w:val="24"/>
        </w:rPr>
        <w:t>independent evaluation has been identified. The same study reports that the Sentinel system can return results in as little as 35 minutes including sample preparation. This is a distinct quantity from the 22-minute analytical Time-to-Threshold (TTT) cutoff used to define positive/negative calls, which is not a sample-to-result turnaround claim. The 35-minute figure comes from the same company-affiliated study and has not been independently corroborated. Turnaround time is not a parameter in the present model (Section 4.2) and is noted here only as descriptive context. PCR's performance values are treated as the peer-reviewed, non-proprietary reference-standard values. Aircraft wastewater-based epidemiology (WBE) was evaluated separately as an exploratory strategy.</w:t>
      </w:r>
    </w:p>
    <w:p w14:paraId="49407E43" w14:textId="77777777" w:rsidR="003E3489" w:rsidRDefault="00405CD3">
      <w:pPr>
        <w:pStyle w:val="Heading3"/>
        <w:keepNext/>
        <w:keepLines/>
        <w:spacing w:before="240" w:after="120"/>
      </w:pPr>
      <w:r>
        <w:t>2.7.1 Wastewater-based epidemiology: an exploratory threshold analysis</w:t>
      </w:r>
    </w:p>
    <w:p w14:paraId="49407E44" w14:textId="77777777" w:rsidR="003E3489" w:rsidRDefault="00405CD3">
      <w:pPr>
        <w:spacing w:after="160"/>
        <w:jc w:val="both"/>
      </w:pPr>
      <w:r>
        <w:rPr>
          <w:sz w:val="24"/>
          <w:szCs w:val="24"/>
        </w:rPr>
        <w:t>Aircraft wastewater-based epidemiology (WBE) was evaluated separately from the four primary passenger-level strategies, as an aircraft-level surveillance gate: a positive wastewater signal from an arriving flight triggers targeted individual follow-up testing of that flight's passengers rather than replacing universal screening.</w:t>
      </w:r>
    </w:p>
    <w:p w14:paraId="49407E45" w14:textId="77777777" w:rsidR="003E3489" w:rsidRDefault="00405CD3">
      <w:pPr>
        <w:spacing w:after="160"/>
        <w:jc w:val="both"/>
      </w:pPr>
      <w:r>
        <w:rPr>
          <w:sz w:val="24"/>
          <w:szCs w:val="24"/>
        </w:rPr>
        <w:t>The infected-passenger burden on an individual flight is modelled as Poisson-distributed; each infectious passenger aboard contributes independently to a true wastewater signal with probability q (aircraft-level WBE detection probability), so that flagging probability rises with the number of infected passengers rather than being treated as a constant. A flight may also be flagged in the absence of a true signal (false positive rate wbe_false_positive_rate, defined conditional on no true signal having occurred). The Poisson burden distribution and its closed-form gate expectation are derived in Supplementary Methods S4 and validated by direct numerical enumeration.</w:t>
      </w:r>
    </w:p>
    <w:p w14:paraId="49407E46" w14:textId="77777777" w:rsidR="003E3489" w:rsidRDefault="00405CD3">
      <w:pPr>
        <w:spacing w:after="160"/>
        <w:jc w:val="both"/>
      </w:pPr>
      <w:r>
        <w:rPr>
          <w:sz w:val="24"/>
          <w:szCs w:val="24"/>
        </w:rPr>
        <w:t>Passengers aboard flagged flights receive individual follow-up testing at coverage fraction follow</w:t>
      </w:r>
      <w:r>
        <w:rPr>
          <w:sz w:val="24"/>
          <w:szCs w:val="24"/>
          <w:vertAlign w:val="subscript"/>
        </w:rPr>
        <w:t>up_coverage</w:t>
      </w:r>
      <w:r>
        <w:rPr>
          <w:sz w:val="24"/>
          <w:szCs w:val="24"/>
        </w:rPr>
        <w:t>, using one of the three primary-strategy diagnostics (RAT, laboratory PCR, or Sentinel RT-LAMP), each retaining its own sensitivity, specificity, and cost. Infected passengers aboard unflagged flights, and those on flagged flights not detected by follow-up testing, remain missed importations feeding the same domestic SIR model used by every other strategy.</w:t>
      </w:r>
    </w:p>
    <w:p w14:paraId="49407E47" w14:textId="77777777" w:rsidR="003E3489" w:rsidRDefault="00405CD3">
      <w:pPr>
        <w:spacing w:after="160"/>
        <w:jc w:val="both"/>
      </w:pPr>
      <w:r>
        <w:rPr>
          <w:sz w:val="24"/>
          <w:szCs w:val="24"/>
        </w:rPr>
        <w:t>Programme cost has two components: per-flight wastewater sampling (wbe</w:t>
      </w:r>
      <w:r>
        <w:rPr>
          <w:sz w:val="24"/>
          <w:szCs w:val="24"/>
          <w:vertAlign w:val="subscript"/>
        </w:rPr>
        <w:t>cost_per_sample</w:t>
      </w:r>
      <w:r>
        <w:rPr>
          <w:sz w:val="24"/>
          <w:szCs w:val="24"/>
        </w:rPr>
        <w:t xml:space="preserve"> × flights per day) and follow-up testing (passengers tested × per-test cost); no cost is charged for passengers on unflagged flights.</w:t>
      </w:r>
    </w:p>
    <w:p w14:paraId="49407E48" w14:textId="77777777" w:rsidR="003E3489" w:rsidRDefault="00405CD3">
      <w:pPr>
        <w:spacing w:after="160"/>
        <w:jc w:val="both"/>
      </w:pPr>
      <w:r>
        <w:rPr>
          <w:sz w:val="24"/>
          <w:szCs w:val="24"/>
        </w:rPr>
        <w:t>This formulation applies only to pathogens with documented faecal-shedding evidence potentially detectable in aircraft lavatory wastewater: SARS-CoV-2 and norovirus (strong evidence) and mpox and Ebola virus disease (evidence with caveats regarding aircraft-specific validation). Influenza A/B and measles were excluded because no aircraft lavatory-specific validated detection performance exists for either pathogen; for influenza A in particular, community wastewater detection is documented and operationally deployed (including by the CDC National Wastewater Surveillance System), but this does not supply the aircraft-specific detection probability estimates the model requires. Diphtheria was excluded because the pathogen has no documented faecal shedding route. Evidence ratings and modelling status for all excluded pathogens are in Supplementary Table S2.</w:t>
      </w:r>
    </w:p>
    <w:p w14:paraId="49407E49" w14:textId="77777777" w:rsidR="003E3489" w:rsidRDefault="00405CD3">
      <w:pPr>
        <w:spacing w:after="160"/>
        <w:jc w:val="both"/>
      </w:pPr>
      <w:r>
        <w:rPr>
          <w:sz w:val="24"/>
          <w:szCs w:val="24"/>
        </w:rPr>
        <w:t xml:space="preserve">Because no aircraft-specific empirical estimate exists for q, wbe_false_positive_rate, wbe_cost_per_sample or follow_up_coverage, all four were treated as exploratory quantities </w:t>
      </w:r>
      <w:r>
        <w:rPr>
          <w:sz w:val="24"/>
          <w:szCs w:val="24"/>
        </w:rPr>
        <w:lastRenderedPageBreak/>
        <w:t>swept over broad bounding ranges (q: 0.05–0.95; follow_up_coverage: 0.50, 0.75, 1.00; the full swept ranges are in Supplementary Methods S4, Table S9). Results are reported in Section 3.9 as conditional threshold findings; no parameter value explored should be read as validated or base-case aircraft-WBE performance.</w:t>
      </w:r>
    </w:p>
    <w:p w14:paraId="49407E4A" w14:textId="77777777" w:rsidR="003E3489" w:rsidRDefault="00405CD3">
      <w:pPr>
        <w:pStyle w:val="Heading3"/>
        <w:keepNext/>
        <w:keepLines/>
        <w:spacing w:before="240" w:after="120"/>
      </w:pPr>
      <w:r>
        <w:t>2.7.2 Lead-time value analysis</w:t>
      </w:r>
    </w:p>
    <w:p w14:paraId="49407E4B" w14:textId="77777777" w:rsidR="003E3489" w:rsidRDefault="00405CD3">
      <w:pPr>
        <w:spacing w:after="160"/>
        <w:jc w:val="both"/>
      </w:pPr>
      <w:r>
        <w:rPr>
          <w:sz w:val="24"/>
          <w:szCs w:val="24"/>
        </w:rPr>
        <w:t>The gate analysis above models WBE as triggering targeted individual follow-up testing. A complementary lead-time value analysis asks a different question: if aircraft WBE delivers d days of advance warning, what is that warning worth in terms of societal cost averted? This analysis quantifies the conditional value of advance warning under specified scenario assumptions; it does not estimate how much advance warning a real aircraft WBE programme would deliver in practice, nor does it model the biological, operational, or governance processes by which a wastewater signal would translate into a system-level response. The analysis uses the same SIR model and cost function as the primary analysis, applied to a dual-arm comparison.</w:t>
      </w:r>
    </w:p>
    <w:p w14:paraId="49407E4C" w14:textId="77777777" w:rsidR="003E3489" w:rsidRDefault="00405CD3">
      <w:pPr>
        <w:spacing w:after="160"/>
        <w:jc w:val="both"/>
      </w:pPr>
      <w:r>
        <w:rPr>
          <w:sz w:val="24"/>
          <w:szCs w:val="24"/>
        </w:rPr>
        <w:t>Two arms are compared: an early arm, in which airport screening deploys from day 0 and countermeasures follow the scenario-specific schedule, and a delayed arm, in which airport screening is absent for the first d days and deploys at day d. Countermeasure timing in the delayed arm depends on the scenario: in Scenario A it is identical to the early arm (day 21 in both arms, independent of d); in Scenario B it shifts to day 21 + d. Both arms are initialised from the same infected-arrivals pool, computed at zero screening sensitivity, so that initial conditions are identical and any difference in cumulative cost between arms reflects lead time alone. The lead-time benefit at d days is</w:t>
      </w:r>
    </w:p>
    <w:p w14:paraId="49407E4D" w14:textId="77777777" w:rsidR="003E3489" w:rsidRDefault="00405CD3">
      <w:pPr>
        <w:spacing w:before="120" w:after="120"/>
        <w:ind w:left="720" w:right="720"/>
        <w:jc w:val="center"/>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late</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early</m:t>
              </m:r>
            </m:sub>
          </m:sSub>
          <m:d>
            <m:dPr>
              <m:ctrlPr>
                <w:rPr>
                  <w:rFonts w:ascii="Cambria Math" w:hAnsi="Cambria Math"/>
                </w:rPr>
              </m:ctrlPr>
            </m:dPr>
            <m:e>
              <m:r>
                <w:rPr>
                  <w:rFonts w:ascii="Cambria Math" w:hAnsi="Cambria Math"/>
                </w:rPr>
                <m:t>0</m:t>
              </m:r>
            </m:e>
          </m:d>
        </m:oMath>
      </m:oMathPara>
    </w:p>
    <w:p w14:paraId="49407E4E" w14:textId="77777777" w:rsidR="003E3489" w:rsidRDefault="00405CD3">
      <w:pPr>
        <w:spacing w:after="160"/>
        <w:jc w:val="both"/>
      </w:pPr>
      <w:r>
        <w:rPr>
          <w:sz w:val="24"/>
          <w:szCs w:val="24"/>
        </w:rPr>
        <w:t>where C</w:t>
      </w:r>
      <w:r>
        <w:rPr>
          <w:sz w:val="24"/>
          <w:szCs w:val="24"/>
          <w:vertAlign w:val="subscript"/>
        </w:rPr>
        <w:t>late</w:t>
      </w:r>
      <w:r>
        <w:rPr>
          <w:sz w:val="24"/>
          <w:szCs w:val="24"/>
        </w:rPr>
        <w:t>(d) is the total cost in the delayed arm and C</w:t>
      </w:r>
      <w:r>
        <w:rPr>
          <w:sz w:val="24"/>
          <w:szCs w:val="24"/>
          <w:vertAlign w:val="subscript"/>
        </w:rPr>
        <w:t>early</w:t>
      </w:r>
      <w:r>
        <w:rPr>
          <w:sz w:val="24"/>
          <w:szCs w:val="24"/>
        </w:rPr>
        <w:t>(0) is the total cost in the early arm. At d = 0 both arms are identical, so B(0) = 0 by definition.</w:t>
      </w:r>
    </w:p>
    <w:p w14:paraId="49407E4F" w14:textId="77777777" w:rsidR="003E3489" w:rsidRDefault="00405CD3">
      <w:pPr>
        <w:spacing w:after="160"/>
        <w:jc w:val="both"/>
      </w:pPr>
      <w:r>
        <w:rPr>
          <w:sz w:val="24"/>
          <w:szCs w:val="24"/>
        </w:rPr>
        <w:t>Two scenarios specify the response pathway that lead time is assumed to activate:</w:t>
      </w:r>
    </w:p>
    <w:p w14:paraId="49407E50" w14:textId="243FDAEB" w:rsidR="003E3489" w:rsidRDefault="00405CD3">
      <w:pPr>
        <w:spacing w:after="160"/>
        <w:jc w:val="both"/>
      </w:pPr>
      <w:r w:rsidRPr="00C777B4">
        <w:rPr>
          <w:b/>
          <w:bCs/>
          <w:sz w:val="24"/>
          <w:szCs w:val="24"/>
        </w:rPr>
        <w:t>Scenario A (screening only):</w:t>
      </w:r>
      <w:r>
        <w:rPr>
          <w:sz w:val="24"/>
          <w:szCs w:val="24"/>
        </w:rPr>
        <w:t xml:space="preserve"> In both arms, domestic countermeasures onset at day 21 from the start of the simulation (the early arm at day 21; the delayed arm also at day 21, independently of d). B</w:t>
      </w:r>
      <w:r>
        <w:rPr>
          <w:sz w:val="24"/>
          <w:szCs w:val="24"/>
          <w:vertAlign w:val="subscript"/>
        </w:rPr>
        <w:t>A</w:t>
      </w:r>
      <w:r>
        <w:rPr>
          <w:sz w:val="24"/>
          <w:szCs w:val="24"/>
        </w:rPr>
        <w:t>(d) captures the value of earlier arrival-screening — catching infectious passengers sooner at the border</w:t>
      </w:r>
      <w:r w:rsidR="00ED79E1">
        <w:rPr>
          <w:sz w:val="24"/>
          <w:szCs w:val="24"/>
        </w:rPr>
        <w:t>,</w:t>
      </w:r>
      <w:r>
        <w:rPr>
          <w:sz w:val="24"/>
          <w:szCs w:val="24"/>
        </w:rPr>
        <w:t xml:space="preserve"> without any effect on countermeasure timing.</w:t>
      </w:r>
    </w:p>
    <w:p w14:paraId="49407E51" w14:textId="2699BEA1" w:rsidR="003E3489" w:rsidRDefault="00405CD3">
      <w:pPr>
        <w:spacing w:after="160"/>
        <w:jc w:val="both"/>
      </w:pPr>
      <w:r w:rsidRPr="00C777B4">
        <w:rPr>
          <w:b/>
          <w:bCs/>
          <w:sz w:val="24"/>
          <w:szCs w:val="24"/>
        </w:rPr>
        <w:t>Scenario B (screening plus earlier countermeasures):</w:t>
      </w:r>
      <w:r>
        <w:rPr>
          <w:sz w:val="24"/>
          <w:szCs w:val="24"/>
        </w:rPr>
        <w:t xml:space="preserve"> The early arm retains countermeasure onset at day 21; the delayed arm's countermeasure onset shifts to day 21 + d. B</w:t>
      </w:r>
      <w:r>
        <w:rPr>
          <w:sz w:val="24"/>
          <w:szCs w:val="24"/>
          <w:vertAlign w:val="subscript"/>
        </w:rPr>
        <w:t>B</w:t>
      </w:r>
      <w:r>
        <w:rPr>
          <w:sz w:val="24"/>
          <w:szCs w:val="24"/>
        </w:rPr>
        <w:t>(d) captures the combined value when advance warning also accelerates the domestic public-health response. The incremental countermeasure value ΔCM(d) = B</w:t>
      </w:r>
      <w:r>
        <w:rPr>
          <w:sz w:val="24"/>
          <w:szCs w:val="24"/>
          <w:vertAlign w:val="subscript"/>
        </w:rPr>
        <w:t>B</w:t>
      </w:r>
      <w:r>
        <w:rPr>
          <w:sz w:val="24"/>
          <w:szCs w:val="24"/>
        </w:rPr>
        <w:t>(d) − B</w:t>
      </w:r>
      <w:r>
        <w:rPr>
          <w:sz w:val="24"/>
          <w:szCs w:val="24"/>
          <w:vertAlign w:val="subscript"/>
        </w:rPr>
        <w:t>A</w:t>
      </w:r>
      <w:r>
        <w:rPr>
          <w:sz w:val="24"/>
          <w:szCs w:val="24"/>
        </w:rPr>
        <w:t>(d) isolates the additional benefit attributable to the policy-timing pathway, identified because both scenarios' early arms are identical. Whether WBE would in practice accelerate policy response</w:t>
      </w:r>
      <w:r w:rsidR="00CD3826">
        <w:rPr>
          <w:sz w:val="24"/>
          <w:szCs w:val="24"/>
        </w:rPr>
        <w:t xml:space="preserve">, </w:t>
      </w:r>
      <w:r>
        <w:rPr>
          <w:sz w:val="24"/>
          <w:szCs w:val="24"/>
        </w:rPr>
        <w:t>rather than merely advancing airport screening</w:t>
      </w:r>
      <w:r w:rsidR="00CD3826">
        <w:rPr>
          <w:sz w:val="24"/>
          <w:szCs w:val="24"/>
        </w:rPr>
        <w:t>,</w:t>
      </w:r>
      <w:r>
        <w:rPr>
          <w:sz w:val="24"/>
          <w:szCs w:val="24"/>
        </w:rPr>
        <w:t xml:space="preserve"> is an operational question this model does not answer; Scenario A represents the value under the narrower response pathway (screening timing only) and Scenario B the value when both screening and policy timing advance.</w:t>
      </w:r>
    </w:p>
    <w:p w14:paraId="49407E52" w14:textId="77777777" w:rsidR="003E3489" w:rsidRDefault="00405CD3">
      <w:pPr>
        <w:spacing w:after="160"/>
        <w:jc w:val="both"/>
      </w:pPr>
      <w:r>
        <w:rPr>
          <w:sz w:val="24"/>
          <w:szCs w:val="24"/>
        </w:rPr>
        <w:t xml:space="preserve">Lead-time benefits B(d) are computed at d ∈ {2, 5, 10, 14} days across all pathogens and modalities included in the WBE gate analysis, at the same 365-day horizon. Negative raw B(d) values are retained for inspection; a zero floor is applied only when aggregating </w:t>
      </w:r>
      <w:r>
        <w:rPr>
          <w:sz w:val="24"/>
          <w:szCs w:val="24"/>
        </w:rPr>
        <w:t>into portfolio values. Portfolio values are computed at 10,000 arrivals/day (the manuscript's primary airport scale; 14,600 arriving flights/year at 250 passengers per flight) using pathogen-specific event and warning probability inputs. The expected annual value of advance warning for each threat class c combines the probability of a relevant event, the probability that warning is actually actionable, and the per-event benefit:</w:t>
      </w:r>
    </w:p>
    <w:p w14:paraId="49407E53" w14:textId="77777777" w:rsidR="003E3489" w:rsidRDefault="00C10871">
      <w:pPr>
        <w:spacing w:before="120" w:after="120"/>
        <w:ind w:left="720" w:right="720"/>
        <w:jc w:val="center"/>
      </w:pPr>
      <m:oMathPara>
        <m:oMathParaPr>
          <m:jc m:val="center"/>
        </m:oMathParaPr>
        <m:oMath>
          <m:sSub>
            <m:sSubPr>
              <m:ctrlPr>
                <w:rPr>
                  <w:rFonts w:ascii="Cambria Math" w:hAnsi="Cambria Math"/>
                </w:rPr>
              </m:ctrlPr>
            </m:sSubPr>
            <m:e>
              <m:r>
                <m:rPr>
                  <m:nor/>
                </m:rPr>
                <m:t>EV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event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warning</m:t>
              </m:r>
              <m:r>
                <m:rPr>
                  <m:sty m:val="p"/>
                </m:rPr>
                <w:rPr>
                  <w:rFonts w:ascii="Cambria Math" w:hAnsi="Cambria Math"/>
                </w:rPr>
                <m:t>|</m:t>
              </m:r>
              <m:r>
                <m:rPr>
                  <m:nor/>
                </m:rPr>
                <m:t>event</m:t>
              </m:r>
              <m:r>
                <m:rPr>
                  <m:sty m:val="p"/>
                </m:rPr>
                <w:rPr>
                  <w:rFonts w:ascii="Cambria Math" w:hAnsi="Cambria Math"/>
                </w:rPr>
                <m:t>,</m:t>
              </m:r>
              <m:r>
                <w:rPr>
                  <w:rFonts w:ascii="Cambria Math" w:hAnsi="Cambria Math"/>
                </w:rPr>
                <m:t>c</m:t>
              </m:r>
            </m:sub>
          </m:sSub>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c</m:t>
                  </m:r>
                </m:sub>
              </m:sSub>
              <m:d>
                <m:dPr>
                  <m:ctrlPr>
                    <w:rPr>
                      <w:rFonts w:ascii="Cambria Math" w:hAnsi="Cambria Math"/>
                    </w:rPr>
                  </m:ctrlPr>
                </m:dPr>
                <m:e>
                  <m:r>
                    <w:rPr>
                      <w:rFonts w:ascii="Cambria Math" w:hAnsi="Cambria Math"/>
                    </w:rPr>
                    <m:t>d</m:t>
                  </m:r>
                </m:e>
              </m:d>
            </m:e>
          </m:d>
        </m:oMath>
      </m:oMathPara>
    </w:p>
    <w:p w14:paraId="49407E54" w14:textId="4C0F8A73" w:rsidR="003E3489" w:rsidRDefault="00405CD3">
      <w:pPr>
        <w:spacing w:after="160"/>
        <w:jc w:val="both"/>
      </w:pPr>
      <w:r>
        <w:rPr>
          <w:sz w:val="24"/>
          <w:szCs w:val="24"/>
        </w:rPr>
        <w:t>where P</w:t>
      </w:r>
      <w:r>
        <w:rPr>
          <w:sz w:val="24"/>
          <w:szCs w:val="24"/>
          <w:vertAlign w:val="subscript"/>
        </w:rPr>
        <w:t>event</w:t>
      </w:r>
      <w:r>
        <w:rPr>
          <w:sz w:val="24"/>
          <w:szCs w:val="24"/>
        </w:rPr>
        <w:t>,c is the annual probability of a relevant event in class c; P</w:t>
      </w:r>
      <w:r>
        <w:rPr>
          <w:sz w:val="24"/>
          <w:szCs w:val="24"/>
          <w:vertAlign w:val="subscript"/>
        </w:rPr>
        <w:t>warning</w:t>
      </w:r>
      <w:r>
        <w:rPr>
          <w:sz w:val="24"/>
          <w:szCs w:val="24"/>
        </w:rPr>
        <w:t>|event,c is the conditional probability that an actionable warning is delivered given such an event; and max(0, B</w:t>
      </w:r>
      <w:r>
        <w:rPr>
          <w:sz w:val="24"/>
          <w:szCs w:val="24"/>
          <w:vertAlign w:val="subscript"/>
        </w:rPr>
        <w:t>c</w:t>
      </w:r>
      <w:r>
        <w:rPr>
          <w:sz w:val="24"/>
          <w:szCs w:val="24"/>
        </w:rPr>
        <w:t>(d)) floors the raw benefit at zero, preventing a negative benefit in one class from offsetting positive value in another. Portfolio expected value sums EV_c across threat classes, and the corresponding annual expenditure threshold</w:t>
      </w:r>
      <w:r w:rsidR="00ED79E1">
        <w:rPr>
          <w:sz w:val="24"/>
          <w:szCs w:val="24"/>
        </w:rPr>
        <w:t>,</w:t>
      </w:r>
      <w:r>
        <w:rPr>
          <w:sz w:val="24"/>
          <w:szCs w:val="24"/>
        </w:rPr>
        <w:t xml:space="preserve"> the maximum surveillance panel cost at which deployment remains cost-neutral in expectation</w:t>
      </w:r>
      <w:r w:rsidR="00ED79E1">
        <w:rPr>
          <w:sz w:val="24"/>
          <w:szCs w:val="24"/>
        </w:rPr>
        <w:t xml:space="preserve">, </w:t>
      </w:r>
      <w:r>
        <w:rPr>
          <w:sz w:val="24"/>
          <w:szCs w:val="24"/>
        </w:rPr>
        <w:t>equals that sum; it is not a point estimate of realised savings. All P</w:t>
      </w:r>
      <w:r>
        <w:rPr>
          <w:sz w:val="24"/>
          <w:szCs w:val="24"/>
          <w:vertAlign w:val="subscript"/>
        </w:rPr>
        <w:t>event</w:t>
      </w:r>
      <w:r>
        <w:rPr>
          <w:sz w:val="24"/>
          <w:szCs w:val="24"/>
        </w:rPr>
        <w:t xml:space="preserve"> and P</w:t>
      </w:r>
      <w:r>
        <w:rPr>
          <w:sz w:val="24"/>
          <w:szCs w:val="24"/>
          <w:vertAlign w:val="subscript"/>
        </w:rPr>
        <w:t>warning</w:t>
      </w:r>
      <w:r>
        <w:rPr>
          <w:sz w:val="24"/>
          <w:szCs w:val="24"/>
        </w:rPr>
        <w:t>|event values are unsourced scenario assumptions for decision exploration, not empirical event-rate estimates; the inputs used are in Supplementary Table S3. An illustrative avian-influenza-like threat class is evaluated as a stress test and reported separately. Full methods and QA checks are in Extended Methods S-BL.</w:t>
      </w:r>
    </w:p>
    <w:p w14:paraId="49407E55" w14:textId="77777777" w:rsidR="003E3489" w:rsidRDefault="00405CD3">
      <w:pPr>
        <w:pStyle w:val="Heading2"/>
        <w:keepNext/>
        <w:keepLines/>
        <w:spacing w:before="240" w:after="120"/>
      </w:pPr>
      <w:r>
        <w:t>2.8 Pathogen scenarios</w:t>
      </w:r>
    </w:p>
    <w:p w14:paraId="49407E56" w14:textId="63AADCE9" w:rsidR="003E3489" w:rsidRDefault="00405CD3">
      <w:pPr>
        <w:spacing w:after="160"/>
        <w:jc w:val="both"/>
      </w:pPr>
      <w:r>
        <w:rPr>
          <w:sz w:val="24"/>
          <w:szCs w:val="24"/>
        </w:rPr>
        <w:t>Six pathogens were retained in the primary comparative analysis on the basis that their transmission is substantially and predominantly human-to-human, compatible with the model's homogeneous-mixing SIR structure: SARS-CoV-2, influenza A/B, mpox, norovirus, Ebola virus disease, and diphtheria. Six further pathogens considered during model development (cholera, dengue, Zika virus, H5N1 avian influenza, yellow fever, and hantavirus) were excluded because their transmission is predominantly vector-borne, environmental, or zoonotic-spillover-dominated</w:t>
      </w:r>
      <w:r w:rsidR="00CD3826">
        <w:rPr>
          <w:sz w:val="24"/>
          <w:szCs w:val="24"/>
        </w:rPr>
        <w:t xml:space="preserve">, </w:t>
      </w:r>
      <w:r>
        <w:rPr>
          <w:sz w:val="24"/>
          <w:szCs w:val="24"/>
        </w:rPr>
        <w:t>a fundamental incompatibility with an importation-reseeded, person-to-person SIR framework.</w:t>
      </w:r>
    </w:p>
    <w:p w14:paraId="49407E57" w14:textId="77777777" w:rsidR="003E3489" w:rsidRDefault="00405CD3">
      <w:pPr>
        <w:spacing w:after="160"/>
        <w:jc w:val="both"/>
      </w:pPr>
      <w:r>
        <w:rPr>
          <w:sz w:val="24"/>
          <w:szCs w:val="24"/>
        </w:rPr>
        <w:t>Measles was evaluated using the same model structure but is reported separately as a model-boundary stress test: the current homogeneous-mixing, delayed-response implementation did not produce epidemiologically plausible measles dynamics under the tested assumptions (Section 3.8). All six retained pathogens are presented as illustrative scenarios: the shared model structure remains a substantial simplification for several of them, and results should be interpreted as demonstrating a decision framework rather than as pathogen-specific epidemiological forecasts.</w:t>
      </w:r>
    </w:p>
    <w:p w14:paraId="242273A3" w14:textId="7752AF96" w:rsidR="0091423C" w:rsidRDefault="0091423C" w:rsidP="0091423C">
      <w:pPr>
        <w:pStyle w:val="Caption"/>
        <w:keepNext/>
        <w:keepLines/>
      </w:pPr>
      <w:bookmarkStart w:id="3" w:name="_Ref240536671"/>
      <w:r w:rsidRPr="0091423C">
        <w:rPr>
          <w:b/>
          <w:bCs/>
        </w:rPr>
        <w:t xml:space="preserve">Table </w:t>
      </w:r>
      <w:r w:rsidRPr="0091423C">
        <w:rPr>
          <w:b/>
          <w:bCs/>
        </w:rPr>
        <w:fldChar w:fldCharType="begin"/>
      </w:r>
      <w:r w:rsidRPr="0091423C">
        <w:rPr>
          <w:b/>
          <w:bCs/>
        </w:rPr>
        <w:instrText xml:space="preserve"> SEQ Table \* ARABIC </w:instrText>
      </w:r>
      <w:r w:rsidRPr="0091423C">
        <w:rPr>
          <w:b/>
          <w:bCs/>
        </w:rPr>
        <w:fldChar w:fldCharType="separate"/>
      </w:r>
      <w:r w:rsidR="00B603E3">
        <w:rPr>
          <w:b/>
          <w:bCs/>
          <w:noProof/>
        </w:rPr>
        <w:t>1</w:t>
      </w:r>
      <w:r w:rsidRPr="0091423C">
        <w:rPr>
          <w:b/>
          <w:bCs/>
        </w:rPr>
        <w:fldChar w:fldCharType="end"/>
      </w:r>
      <w:bookmarkEnd w:id="3"/>
      <w:r w:rsidRPr="0091423C">
        <w:rPr>
          <w:b/>
          <w:bCs/>
        </w:rPr>
        <w:t>.</w:t>
      </w:r>
      <w:r>
        <w:t xml:space="preserve"> </w:t>
      </w:r>
      <w:r w:rsidRPr="0091423C">
        <w:t>Passenger-screening strategies and their diagnostic and operational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1700"/>
        <w:gridCol w:w="1700"/>
        <w:gridCol w:w="1700"/>
        <w:gridCol w:w="1913"/>
      </w:tblGrid>
      <w:tr w:rsidR="003E3489" w14:paraId="49407E5D" w14:textId="77777777">
        <w:trPr>
          <w:tblHeader/>
        </w:trPr>
        <w:tc>
          <w:tcPr>
            <w:tcW w:w="2200" w:type="dxa"/>
            <w:shd w:val="clear" w:color="auto" w:fill="D9D9D9"/>
          </w:tcPr>
          <w:p w14:paraId="49407E58" w14:textId="77777777" w:rsidR="003E3489" w:rsidRDefault="00405CD3">
            <w:r>
              <w:rPr>
                <w:b/>
                <w:bCs/>
              </w:rPr>
              <w:t>Strategy</w:t>
            </w:r>
          </w:p>
        </w:tc>
        <w:tc>
          <w:tcPr>
            <w:tcW w:w="1600" w:type="dxa"/>
            <w:shd w:val="clear" w:color="auto" w:fill="D9D9D9"/>
          </w:tcPr>
          <w:p w14:paraId="49407E59" w14:textId="77777777" w:rsidR="003E3489" w:rsidRDefault="00405CD3">
            <w:r>
              <w:rPr>
                <w:b/>
                <w:bCs/>
              </w:rPr>
              <w:t>Sensitivity (%)</w:t>
            </w:r>
          </w:p>
        </w:tc>
        <w:tc>
          <w:tcPr>
            <w:tcW w:w="1600" w:type="dxa"/>
            <w:shd w:val="clear" w:color="auto" w:fill="D9D9D9"/>
          </w:tcPr>
          <w:p w14:paraId="49407E5A" w14:textId="77777777" w:rsidR="003E3489" w:rsidRDefault="00405CD3">
            <w:r>
              <w:rPr>
                <w:b/>
                <w:bCs/>
              </w:rPr>
              <w:t>Specificity (%)</w:t>
            </w:r>
          </w:p>
        </w:tc>
        <w:tc>
          <w:tcPr>
            <w:tcW w:w="1600" w:type="dxa"/>
            <w:shd w:val="clear" w:color="auto" w:fill="D9D9D9"/>
          </w:tcPr>
          <w:p w14:paraId="49407E5B" w14:textId="77777777" w:rsidR="003E3489" w:rsidRDefault="00405CD3">
            <w:r>
              <w:rPr>
                <w:b/>
                <w:bCs/>
              </w:rPr>
              <w:t>Cost/test (USD)</w:t>
            </w:r>
          </w:p>
        </w:tc>
        <w:tc>
          <w:tcPr>
            <w:tcW w:w="1800" w:type="dxa"/>
            <w:shd w:val="clear" w:color="auto" w:fill="D9D9D9"/>
          </w:tcPr>
          <w:p w14:paraId="49407E5C" w14:textId="77777777" w:rsidR="003E3489" w:rsidRDefault="00405CD3">
            <w:r>
              <w:rPr>
                <w:b/>
                <w:bCs/>
              </w:rPr>
              <w:t>Throughput (pass/hr)</w:t>
            </w:r>
          </w:p>
        </w:tc>
      </w:tr>
      <w:tr w:rsidR="003E3489" w14:paraId="49407E63" w14:textId="77777777">
        <w:tc>
          <w:tcPr>
            <w:tcW w:w="2200" w:type="dxa"/>
          </w:tcPr>
          <w:p w14:paraId="49407E5E" w14:textId="77777777" w:rsidR="003E3489" w:rsidRDefault="00405CD3">
            <w:r>
              <w:t>No screening</w:t>
            </w:r>
          </w:p>
        </w:tc>
        <w:tc>
          <w:tcPr>
            <w:tcW w:w="1600" w:type="dxa"/>
          </w:tcPr>
          <w:p w14:paraId="49407E5F" w14:textId="77777777" w:rsidR="003E3489" w:rsidRDefault="00405CD3">
            <w:r>
              <w:t>0</w:t>
            </w:r>
          </w:p>
        </w:tc>
        <w:tc>
          <w:tcPr>
            <w:tcW w:w="1600" w:type="dxa"/>
          </w:tcPr>
          <w:p w14:paraId="49407E60" w14:textId="77777777" w:rsidR="003E3489" w:rsidRDefault="00405CD3">
            <w:r>
              <w:t>N/A</w:t>
            </w:r>
          </w:p>
        </w:tc>
        <w:tc>
          <w:tcPr>
            <w:tcW w:w="1600" w:type="dxa"/>
          </w:tcPr>
          <w:p w14:paraId="49407E61" w14:textId="77777777" w:rsidR="003E3489" w:rsidRDefault="00405CD3">
            <w:r>
              <w:t>$0</w:t>
            </w:r>
          </w:p>
        </w:tc>
        <w:tc>
          <w:tcPr>
            <w:tcW w:w="1800" w:type="dxa"/>
          </w:tcPr>
          <w:p w14:paraId="49407E62" w14:textId="77777777" w:rsidR="003E3489" w:rsidRDefault="00405CD3">
            <w:r>
              <w:t>N/A</w:t>
            </w:r>
          </w:p>
        </w:tc>
      </w:tr>
      <w:tr w:rsidR="003E3489" w14:paraId="49407E69" w14:textId="77777777">
        <w:tc>
          <w:tcPr>
            <w:tcW w:w="2200" w:type="dxa"/>
          </w:tcPr>
          <w:p w14:paraId="49407E64" w14:textId="77777777" w:rsidR="003E3489" w:rsidRDefault="00405CD3">
            <w:r>
              <w:t>Rapid antigen (RAT)</w:t>
            </w:r>
          </w:p>
        </w:tc>
        <w:tc>
          <w:tcPr>
            <w:tcW w:w="1600" w:type="dxa"/>
          </w:tcPr>
          <w:p w14:paraId="49407E65" w14:textId="77777777" w:rsidR="003E3489" w:rsidRDefault="00405CD3">
            <w:r>
              <w:t>45–90</w:t>
            </w:r>
          </w:p>
        </w:tc>
        <w:tc>
          <w:tcPr>
            <w:tcW w:w="1600" w:type="dxa"/>
          </w:tcPr>
          <w:p w14:paraId="49407E66" w14:textId="77777777" w:rsidR="003E3489" w:rsidRDefault="00405CD3">
            <w:r>
              <w:t>99.0–99.8</w:t>
            </w:r>
          </w:p>
        </w:tc>
        <w:tc>
          <w:tcPr>
            <w:tcW w:w="1600" w:type="dxa"/>
          </w:tcPr>
          <w:p w14:paraId="49407E67" w14:textId="77777777" w:rsidR="003E3489" w:rsidRDefault="00405CD3">
            <w:r>
              <w:t>$5–20</w:t>
            </w:r>
          </w:p>
        </w:tc>
        <w:tc>
          <w:tcPr>
            <w:tcW w:w="1800" w:type="dxa"/>
          </w:tcPr>
          <w:p w14:paraId="49407E68" w14:textId="77777777" w:rsidR="003E3489" w:rsidRDefault="00405CD3">
            <w:r>
              <w:t>~200–600</w:t>
            </w:r>
          </w:p>
        </w:tc>
      </w:tr>
      <w:tr w:rsidR="003E3489" w14:paraId="49407E6F" w14:textId="77777777">
        <w:tc>
          <w:tcPr>
            <w:tcW w:w="2200" w:type="dxa"/>
          </w:tcPr>
          <w:p w14:paraId="49407E6A" w14:textId="77777777" w:rsidR="003E3489" w:rsidRDefault="00405CD3">
            <w:r>
              <w:t>Laboratory PCR</w:t>
            </w:r>
          </w:p>
        </w:tc>
        <w:tc>
          <w:tcPr>
            <w:tcW w:w="1600" w:type="dxa"/>
          </w:tcPr>
          <w:p w14:paraId="49407E6B" w14:textId="77777777" w:rsidR="003E3489" w:rsidRDefault="00405CD3">
            <w:r>
              <w:t>95–99</w:t>
            </w:r>
          </w:p>
        </w:tc>
        <w:tc>
          <w:tcPr>
            <w:tcW w:w="1600" w:type="dxa"/>
          </w:tcPr>
          <w:p w14:paraId="49407E6C" w14:textId="77777777" w:rsidR="003E3489" w:rsidRDefault="00405CD3">
            <w:r>
              <w:t>97.3–99.5</w:t>
            </w:r>
          </w:p>
        </w:tc>
        <w:tc>
          <w:tcPr>
            <w:tcW w:w="1600" w:type="dxa"/>
          </w:tcPr>
          <w:p w14:paraId="49407E6D" w14:textId="77777777" w:rsidR="003E3489" w:rsidRDefault="00405CD3">
            <w:r>
              <w:t>$50–150</w:t>
            </w:r>
          </w:p>
        </w:tc>
        <w:tc>
          <w:tcPr>
            <w:tcW w:w="1800" w:type="dxa"/>
          </w:tcPr>
          <w:p w14:paraId="49407E6E" w14:textId="77777777" w:rsidR="003E3489" w:rsidRDefault="00405CD3">
            <w:r>
              <w:t>~50–150</w:t>
            </w:r>
          </w:p>
        </w:tc>
      </w:tr>
      <w:tr w:rsidR="003E3489" w14:paraId="49407E75" w14:textId="77777777">
        <w:tc>
          <w:tcPr>
            <w:tcW w:w="2200" w:type="dxa"/>
          </w:tcPr>
          <w:p w14:paraId="49407E70" w14:textId="77777777" w:rsidR="003E3489" w:rsidRDefault="00405CD3">
            <w:r>
              <w:t>High-throughput molecular (Sentinel)</w:t>
            </w:r>
          </w:p>
        </w:tc>
        <w:tc>
          <w:tcPr>
            <w:tcW w:w="1600" w:type="dxa"/>
          </w:tcPr>
          <w:p w14:paraId="49407E71" w14:textId="77777777" w:rsidR="003E3489" w:rsidRDefault="00405CD3">
            <w:r>
              <w:t>95–99</w:t>
            </w:r>
          </w:p>
        </w:tc>
        <w:tc>
          <w:tcPr>
            <w:tcW w:w="1600" w:type="dxa"/>
          </w:tcPr>
          <w:p w14:paraId="49407E72" w14:textId="77777777" w:rsidR="003E3489" w:rsidRDefault="00405CD3">
            <w:r>
              <w:t>97.3–99.5</w:t>
            </w:r>
          </w:p>
        </w:tc>
        <w:tc>
          <w:tcPr>
            <w:tcW w:w="1600" w:type="dxa"/>
          </w:tcPr>
          <w:p w14:paraId="49407E73" w14:textId="77777777" w:rsidR="003E3489" w:rsidRDefault="00405CD3">
            <w:r>
              <w:t>$10–30</w:t>
            </w:r>
          </w:p>
        </w:tc>
        <w:tc>
          <w:tcPr>
            <w:tcW w:w="1800" w:type="dxa"/>
          </w:tcPr>
          <w:p w14:paraId="49407E74" w14:textId="77777777" w:rsidR="003E3489" w:rsidRDefault="00405CD3">
            <w:r>
              <w:t>~200–400</w:t>
            </w:r>
          </w:p>
        </w:tc>
      </w:tr>
    </w:tbl>
    <w:p w14:paraId="49407F1B" w14:textId="34FC5750" w:rsidR="003E3489" w:rsidRDefault="009708F5" w:rsidP="009708F5">
      <w:pPr>
        <w:pStyle w:val="Caption"/>
      </w:pPr>
      <w:fldSimple w:instr=" SEQ Figure \* ARABIC ">
        <w:r>
          <w:rPr>
            <w:noProof/>
          </w:rPr>
          <w:t>5</w:t>
        </w:r>
      </w:fldSimple>
      <w:r>
        <w:t>Notes. Sensitivity and specificity ranges reflect published systematic review estimates; all three active strategies use coverage = 1.0 (all arriving passengers tested) in the base case. Laboratory PCR and high-throughput molecular testing are assigned identical sensitivity and specificity ranges; any cost difference between them is attributable solely to per-test cost. Throughput is informational and is not enforced as a binding capacity constraint in the cost model (Section 3.3).</w:t>
      </w:r>
    </w:p>
    <w:p w14:paraId="49407E76" w14:textId="47594FCC" w:rsidR="003E3489" w:rsidRDefault="003E3489">
      <w:pPr>
        <w:spacing w:before="80" w:after="200"/>
      </w:pPr>
    </w:p>
    <w:p w14:paraId="6EEFF3DA" w14:textId="360F7814" w:rsidR="0091423C" w:rsidRDefault="0091423C" w:rsidP="0091423C">
      <w:pPr>
        <w:pStyle w:val="Caption"/>
        <w:keepNext/>
        <w:keepLines/>
      </w:pPr>
      <w:r w:rsidRPr="0091423C">
        <w:rPr>
          <w:b/>
          <w:bCs/>
        </w:rPr>
        <w:lastRenderedPageBreak/>
        <w:t xml:space="preserve">Table </w:t>
      </w:r>
      <w:r w:rsidRPr="0091423C">
        <w:rPr>
          <w:b/>
          <w:bCs/>
        </w:rPr>
        <w:fldChar w:fldCharType="begin"/>
      </w:r>
      <w:r w:rsidRPr="0091423C">
        <w:rPr>
          <w:b/>
          <w:bCs/>
        </w:rPr>
        <w:instrText xml:space="preserve"> SEQ Table \* ARABIC </w:instrText>
      </w:r>
      <w:r w:rsidRPr="0091423C">
        <w:rPr>
          <w:b/>
          <w:bCs/>
        </w:rPr>
        <w:fldChar w:fldCharType="separate"/>
      </w:r>
      <w:r w:rsidR="00B603E3">
        <w:rPr>
          <w:b/>
          <w:bCs/>
          <w:noProof/>
        </w:rPr>
        <w:t>2</w:t>
      </w:r>
      <w:r w:rsidRPr="0091423C">
        <w:rPr>
          <w:b/>
          <w:bCs/>
        </w:rPr>
        <w:fldChar w:fldCharType="end"/>
      </w:r>
      <w:r w:rsidRPr="0091423C">
        <w:rPr>
          <w:b/>
          <w:bCs/>
        </w:rPr>
        <w:t>.</w:t>
      </w:r>
      <w:r>
        <w:t xml:space="preserve"> </w:t>
      </w:r>
      <w:r w:rsidR="004802D7" w:rsidRPr="004802D7">
        <w:t>Pathogen-specific parameters used in the base-case and PSA analyses.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3"/>
        <w:gridCol w:w="1063"/>
        <w:gridCol w:w="850"/>
        <w:gridCol w:w="850"/>
        <w:gridCol w:w="956"/>
        <w:gridCol w:w="956"/>
        <w:gridCol w:w="850"/>
        <w:gridCol w:w="850"/>
        <w:gridCol w:w="744"/>
        <w:gridCol w:w="638"/>
      </w:tblGrid>
      <w:tr w:rsidR="003E3489" w14:paraId="49407E81" w14:textId="77777777">
        <w:trPr>
          <w:tblHeader/>
        </w:trPr>
        <w:tc>
          <w:tcPr>
            <w:tcW w:w="1500" w:type="dxa"/>
            <w:shd w:val="clear" w:color="auto" w:fill="D9D9D9"/>
          </w:tcPr>
          <w:p w14:paraId="49407E77" w14:textId="77777777" w:rsidR="003E3489" w:rsidRDefault="00405CD3">
            <w:r>
              <w:rPr>
                <w:b/>
                <w:bCs/>
                <w:sz w:val="18"/>
                <w:szCs w:val="18"/>
              </w:rPr>
              <w:t>Pathogen</w:t>
            </w:r>
          </w:p>
        </w:tc>
        <w:tc>
          <w:tcPr>
            <w:tcW w:w="1000" w:type="dxa"/>
            <w:shd w:val="clear" w:color="auto" w:fill="D9D9D9"/>
          </w:tcPr>
          <w:p w14:paraId="49407E78" w14:textId="77777777" w:rsidR="003E3489" w:rsidRDefault="00405CD3">
            <w:r>
              <w:rPr>
                <w:b/>
                <w:bCs/>
                <w:sz w:val="18"/>
                <w:szCs w:val="18"/>
              </w:rPr>
              <w:t>Rt (range)</w:t>
            </w:r>
          </w:p>
        </w:tc>
        <w:tc>
          <w:tcPr>
            <w:tcW w:w="800" w:type="dxa"/>
            <w:shd w:val="clear" w:color="auto" w:fill="D9D9D9"/>
          </w:tcPr>
          <w:p w14:paraId="49407E79" w14:textId="77777777" w:rsidR="003E3489" w:rsidRDefault="00405CD3">
            <w:r>
              <w:rPr>
                <w:b/>
                <w:bCs/>
                <w:sz w:val="18"/>
                <w:szCs w:val="18"/>
              </w:rPr>
              <w:t>D_j (d)</w:t>
            </w:r>
          </w:p>
        </w:tc>
        <w:tc>
          <w:tcPr>
            <w:tcW w:w="800" w:type="dxa"/>
            <w:shd w:val="clear" w:color="auto" w:fill="D9D9D9"/>
          </w:tcPr>
          <w:p w14:paraId="49407E7A" w14:textId="77777777" w:rsidR="003E3489" w:rsidRDefault="00405CD3">
            <w:r>
              <w:rPr>
                <w:b/>
                <w:bCs/>
                <w:sz w:val="18"/>
                <w:szCs w:val="18"/>
              </w:rPr>
              <w:t>CFR (%)</w:t>
            </w:r>
          </w:p>
        </w:tc>
        <w:tc>
          <w:tcPr>
            <w:tcW w:w="900" w:type="dxa"/>
            <w:shd w:val="clear" w:color="auto" w:fill="D9D9D9"/>
          </w:tcPr>
          <w:p w14:paraId="49407E7B" w14:textId="77777777" w:rsidR="003E3489" w:rsidRDefault="00405CD3">
            <w:r>
              <w:rPr>
                <w:b/>
                <w:bCs/>
                <w:sz w:val="18"/>
                <w:szCs w:val="18"/>
              </w:rPr>
              <w:t>Hosp rate (%)</w:t>
            </w:r>
          </w:p>
        </w:tc>
        <w:tc>
          <w:tcPr>
            <w:tcW w:w="900" w:type="dxa"/>
            <w:shd w:val="clear" w:color="auto" w:fill="D9D9D9"/>
          </w:tcPr>
          <w:p w14:paraId="49407E7C" w14:textId="77777777" w:rsidR="003E3489" w:rsidRDefault="00405CD3">
            <w:r>
              <w:rPr>
                <w:b/>
                <w:bCs/>
                <w:sz w:val="18"/>
                <w:szCs w:val="18"/>
              </w:rPr>
              <w:t>Hosp dur (d)</w:t>
            </w:r>
          </w:p>
        </w:tc>
        <w:tc>
          <w:tcPr>
            <w:tcW w:w="800" w:type="dxa"/>
            <w:shd w:val="clear" w:color="auto" w:fill="D9D9D9"/>
          </w:tcPr>
          <w:p w14:paraId="49407E7D" w14:textId="77777777" w:rsidR="003E3489" w:rsidRDefault="00405CD3">
            <w:r>
              <w:rPr>
                <w:b/>
                <w:bCs/>
                <w:sz w:val="18"/>
                <w:szCs w:val="18"/>
              </w:rPr>
              <w:t>Sympt (%)</w:t>
            </w:r>
          </w:p>
        </w:tc>
        <w:tc>
          <w:tcPr>
            <w:tcW w:w="800" w:type="dxa"/>
            <w:shd w:val="clear" w:color="auto" w:fill="D9D9D9"/>
          </w:tcPr>
          <w:p w14:paraId="49407E7E" w14:textId="77777777" w:rsidR="003E3489" w:rsidRDefault="00405CD3">
            <w:r>
              <w:rPr>
                <w:b/>
                <w:bCs/>
                <w:sz w:val="18"/>
                <w:szCs w:val="18"/>
              </w:rPr>
              <w:t>Detect (%)</w:t>
            </w:r>
          </w:p>
        </w:tc>
        <w:tc>
          <w:tcPr>
            <w:tcW w:w="700" w:type="dxa"/>
            <w:shd w:val="clear" w:color="auto" w:fill="D9D9D9"/>
          </w:tcPr>
          <w:p w14:paraId="49407E7F" w14:textId="77777777" w:rsidR="003E3489" w:rsidRDefault="00405CD3">
            <w:r>
              <w:rPr>
                <w:b/>
                <w:bCs/>
                <w:sz w:val="18"/>
                <w:szCs w:val="18"/>
              </w:rPr>
              <w:t>Prev (%)</w:t>
            </w:r>
          </w:p>
        </w:tc>
        <w:tc>
          <w:tcPr>
            <w:tcW w:w="600" w:type="dxa"/>
            <w:shd w:val="clear" w:color="auto" w:fill="D9D9D9"/>
          </w:tcPr>
          <w:p w14:paraId="49407E80" w14:textId="77777777" w:rsidR="003E3489" w:rsidRDefault="00405CD3">
            <w:r>
              <w:rPr>
                <w:b/>
                <w:bCs/>
                <w:sz w:val="18"/>
                <w:szCs w:val="18"/>
              </w:rPr>
              <w:t>WBE</w:t>
            </w:r>
          </w:p>
        </w:tc>
      </w:tr>
      <w:tr w:rsidR="003E3489" w14:paraId="49407E8C" w14:textId="77777777">
        <w:tc>
          <w:tcPr>
            <w:tcW w:w="1500" w:type="dxa"/>
          </w:tcPr>
          <w:p w14:paraId="49407E82" w14:textId="77777777" w:rsidR="003E3489" w:rsidRDefault="00405CD3">
            <w:r>
              <w:rPr>
                <w:sz w:val="18"/>
                <w:szCs w:val="18"/>
              </w:rPr>
              <w:t>SARS-CoV-2</w:t>
            </w:r>
          </w:p>
        </w:tc>
        <w:tc>
          <w:tcPr>
            <w:tcW w:w="1000" w:type="dxa"/>
          </w:tcPr>
          <w:p w14:paraId="49407E83" w14:textId="77777777" w:rsidR="003E3489" w:rsidRDefault="00405CD3">
            <w:r>
              <w:rPr>
                <w:sz w:val="18"/>
                <w:szCs w:val="18"/>
              </w:rPr>
              <w:t>1.2–2.0</w:t>
            </w:r>
          </w:p>
        </w:tc>
        <w:tc>
          <w:tcPr>
            <w:tcW w:w="800" w:type="dxa"/>
          </w:tcPr>
          <w:p w14:paraId="49407E84" w14:textId="77777777" w:rsidR="003E3489" w:rsidRDefault="00405CD3">
            <w:r>
              <w:rPr>
                <w:sz w:val="18"/>
                <w:szCs w:val="18"/>
              </w:rPr>
              <w:t>5.5</w:t>
            </w:r>
          </w:p>
        </w:tc>
        <w:tc>
          <w:tcPr>
            <w:tcW w:w="800" w:type="dxa"/>
          </w:tcPr>
          <w:p w14:paraId="49407E85" w14:textId="77777777" w:rsidR="003E3489" w:rsidRDefault="00405CD3">
            <w:r>
              <w:rPr>
                <w:sz w:val="18"/>
                <w:szCs w:val="18"/>
              </w:rPr>
              <w:t>0.75</w:t>
            </w:r>
          </w:p>
        </w:tc>
        <w:tc>
          <w:tcPr>
            <w:tcW w:w="900" w:type="dxa"/>
          </w:tcPr>
          <w:p w14:paraId="49407E86" w14:textId="77777777" w:rsidR="003E3489" w:rsidRDefault="00405CD3">
            <w:r>
              <w:rPr>
                <w:sz w:val="18"/>
                <w:szCs w:val="18"/>
              </w:rPr>
              <w:t>7.5</w:t>
            </w:r>
          </w:p>
        </w:tc>
        <w:tc>
          <w:tcPr>
            <w:tcW w:w="900" w:type="dxa"/>
          </w:tcPr>
          <w:p w14:paraId="49407E87" w14:textId="77777777" w:rsidR="003E3489" w:rsidRDefault="00405CD3">
            <w:r>
              <w:rPr>
                <w:sz w:val="18"/>
                <w:szCs w:val="18"/>
              </w:rPr>
              <w:t>8.5</w:t>
            </w:r>
          </w:p>
        </w:tc>
        <w:tc>
          <w:tcPr>
            <w:tcW w:w="800" w:type="dxa"/>
          </w:tcPr>
          <w:p w14:paraId="49407E88" w14:textId="77777777" w:rsidR="003E3489" w:rsidRDefault="00405CD3">
            <w:r>
              <w:rPr>
                <w:sz w:val="18"/>
                <w:szCs w:val="18"/>
              </w:rPr>
              <w:t>65</w:t>
            </w:r>
          </w:p>
        </w:tc>
        <w:tc>
          <w:tcPr>
            <w:tcW w:w="800" w:type="dxa"/>
          </w:tcPr>
          <w:p w14:paraId="49407E89" w14:textId="77777777" w:rsidR="003E3489" w:rsidRDefault="00405CD3">
            <w:r>
              <w:rPr>
                <w:sz w:val="18"/>
                <w:szCs w:val="18"/>
              </w:rPr>
              <w:t>50</w:t>
            </w:r>
          </w:p>
        </w:tc>
        <w:tc>
          <w:tcPr>
            <w:tcW w:w="700" w:type="dxa"/>
          </w:tcPr>
          <w:p w14:paraId="49407E8A" w14:textId="77777777" w:rsidR="003E3489" w:rsidRDefault="00405CD3">
            <w:r>
              <w:rPr>
                <w:sz w:val="18"/>
                <w:szCs w:val="18"/>
              </w:rPr>
              <w:t>1.5</w:t>
            </w:r>
          </w:p>
        </w:tc>
        <w:tc>
          <w:tcPr>
            <w:tcW w:w="600" w:type="dxa"/>
          </w:tcPr>
          <w:p w14:paraId="49407E8B" w14:textId="77777777" w:rsidR="003E3489" w:rsidRDefault="00405CD3">
            <w:r>
              <w:rPr>
                <w:sz w:val="18"/>
                <w:szCs w:val="18"/>
              </w:rPr>
              <w:t>Yes</w:t>
            </w:r>
          </w:p>
        </w:tc>
      </w:tr>
      <w:tr w:rsidR="003E3489" w14:paraId="49407E97" w14:textId="77777777">
        <w:tc>
          <w:tcPr>
            <w:tcW w:w="1500" w:type="dxa"/>
          </w:tcPr>
          <w:p w14:paraId="49407E8D" w14:textId="77777777" w:rsidR="003E3489" w:rsidRDefault="00405CD3">
            <w:r>
              <w:rPr>
                <w:sz w:val="18"/>
                <w:szCs w:val="18"/>
              </w:rPr>
              <w:t>Influenza A/B</w:t>
            </w:r>
          </w:p>
        </w:tc>
        <w:tc>
          <w:tcPr>
            <w:tcW w:w="1000" w:type="dxa"/>
          </w:tcPr>
          <w:p w14:paraId="49407E8E" w14:textId="77777777" w:rsidR="003E3489" w:rsidRDefault="00405CD3">
            <w:r>
              <w:rPr>
                <w:sz w:val="18"/>
                <w:szCs w:val="18"/>
              </w:rPr>
              <w:t>1.1–1.4</w:t>
            </w:r>
          </w:p>
        </w:tc>
        <w:tc>
          <w:tcPr>
            <w:tcW w:w="800" w:type="dxa"/>
          </w:tcPr>
          <w:p w14:paraId="49407E8F" w14:textId="77777777" w:rsidR="003E3489" w:rsidRDefault="00405CD3">
            <w:r>
              <w:rPr>
                <w:sz w:val="18"/>
                <w:szCs w:val="18"/>
              </w:rPr>
              <w:t>4.0</w:t>
            </w:r>
          </w:p>
        </w:tc>
        <w:tc>
          <w:tcPr>
            <w:tcW w:w="800" w:type="dxa"/>
          </w:tcPr>
          <w:p w14:paraId="49407E90" w14:textId="77777777" w:rsidR="003E3489" w:rsidRDefault="00405CD3">
            <w:r>
              <w:rPr>
                <w:sz w:val="18"/>
                <w:szCs w:val="18"/>
              </w:rPr>
              <w:t>0.055</w:t>
            </w:r>
          </w:p>
        </w:tc>
        <w:tc>
          <w:tcPr>
            <w:tcW w:w="900" w:type="dxa"/>
          </w:tcPr>
          <w:p w14:paraId="49407E91" w14:textId="77777777" w:rsidR="003E3489" w:rsidRDefault="00405CD3">
            <w:r>
              <w:rPr>
                <w:sz w:val="18"/>
                <w:szCs w:val="18"/>
              </w:rPr>
              <w:t>2.0</w:t>
            </w:r>
          </w:p>
        </w:tc>
        <w:tc>
          <w:tcPr>
            <w:tcW w:w="900" w:type="dxa"/>
          </w:tcPr>
          <w:p w14:paraId="49407E92" w14:textId="77777777" w:rsidR="003E3489" w:rsidRDefault="00405CD3">
            <w:r>
              <w:rPr>
                <w:sz w:val="18"/>
                <w:szCs w:val="18"/>
              </w:rPr>
              <w:t>5.0</w:t>
            </w:r>
          </w:p>
        </w:tc>
        <w:tc>
          <w:tcPr>
            <w:tcW w:w="800" w:type="dxa"/>
          </w:tcPr>
          <w:p w14:paraId="49407E93" w14:textId="77777777" w:rsidR="003E3489" w:rsidRDefault="00405CD3">
            <w:r>
              <w:rPr>
                <w:sz w:val="18"/>
                <w:szCs w:val="18"/>
              </w:rPr>
              <w:t>60</w:t>
            </w:r>
          </w:p>
        </w:tc>
        <w:tc>
          <w:tcPr>
            <w:tcW w:w="800" w:type="dxa"/>
          </w:tcPr>
          <w:p w14:paraId="49407E94" w14:textId="77777777" w:rsidR="003E3489" w:rsidRDefault="00405CD3">
            <w:r>
              <w:rPr>
                <w:sz w:val="18"/>
                <w:szCs w:val="18"/>
              </w:rPr>
              <w:t>47.5</w:t>
            </w:r>
          </w:p>
        </w:tc>
        <w:tc>
          <w:tcPr>
            <w:tcW w:w="700" w:type="dxa"/>
          </w:tcPr>
          <w:p w14:paraId="49407E95" w14:textId="77777777" w:rsidR="003E3489" w:rsidRDefault="00405CD3">
            <w:r>
              <w:rPr>
                <w:sz w:val="18"/>
                <w:szCs w:val="18"/>
              </w:rPr>
              <w:t>4.0</w:t>
            </w:r>
          </w:p>
        </w:tc>
        <w:tc>
          <w:tcPr>
            <w:tcW w:w="600" w:type="dxa"/>
          </w:tcPr>
          <w:p w14:paraId="49407E96" w14:textId="245B9B8D" w:rsidR="003E3489" w:rsidRDefault="00405CD3">
            <w:r>
              <w:rPr>
                <w:sz w:val="18"/>
                <w:szCs w:val="18"/>
              </w:rPr>
              <w:t>No</w:t>
            </w:r>
          </w:p>
        </w:tc>
      </w:tr>
      <w:tr w:rsidR="003E3489" w14:paraId="49407EA2" w14:textId="77777777">
        <w:tc>
          <w:tcPr>
            <w:tcW w:w="1500" w:type="dxa"/>
          </w:tcPr>
          <w:p w14:paraId="49407E98" w14:textId="77777777" w:rsidR="003E3489" w:rsidRDefault="00405CD3">
            <w:r>
              <w:rPr>
                <w:sz w:val="18"/>
                <w:szCs w:val="18"/>
              </w:rPr>
              <w:t>Mpox</w:t>
            </w:r>
          </w:p>
        </w:tc>
        <w:tc>
          <w:tcPr>
            <w:tcW w:w="1000" w:type="dxa"/>
          </w:tcPr>
          <w:p w14:paraId="49407E99" w14:textId="77777777" w:rsidR="003E3489" w:rsidRDefault="00405CD3">
            <w:r>
              <w:rPr>
                <w:sz w:val="18"/>
                <w:szCs w:val="18"/>
              </w:rPr>
              <w:t>1.2–1.8</w:t>
            </w:r>
          </w:p>
        </w:tc>
        <w:tc>
          <w:tcPr>
            <w:tcW w:w="800" w:type="dxa"/>
          </w:tcPr>
          <w:p w14:paraId="49407E9A" w14:textId="77777777" w:rsidR="003E3489" w:rsidRDefault="00405CD3">
            <w:r>
              <w:rPr>
                <w:sz w:val="18"/>
                <w:szCs w:val="18"/>
              </w:rPr>
              <w:t>10.5</w:t>
            </w:r>
          </w:p>
        </w:tc>
        <w:tc>
          <w:tcPr>
            <w:tcW w:w="800" w:type="dxa"/>
          </w:tcPr>
          <w:p w14:paraId="49407E9B" w14:textId="77777777" w:rsidR="003E3489" w:rsidRDefault="00405CD3">
            <w:r>
              <w:rPr>
                <w:sz w:val="18"/>
                <w:szCs w:val="18"/>
              </w:rPr>
              <w:t>5.5</w:t>
            </w:r>
          </w:p>
        </w:tc>
        <w:tc>
          <w:tcPr>
            <w:tcW w:w="900" w:type="dxa"/>
          </w:tcPr>
          <w:p w14:paraId="49407E9C" w14:textId="77777777" w:rsidR="003E3489" w:rsidRDefault="00405CD3">
            <w:r>
              <w:rPr>
                <w:sz w:val="18"/>
                <w:szCs w:val="18"/>
              </w:rPr>
              <w:t>12.5</w:t>
            </w:r>
          </w:p>
        </w:tc>
        <w:tc>
          <w:tcPr>
            <w:tcW w:w="900" w:type="dxa"/>
          </w:tcPr>
          <w:p w14:paraId="49407E9D" w14:textId="77777777" w:rsidR="003E3489" w:rsidRDefault="00405CD3">
            <w:r>
              <w:rPr>
                <w:sz w:val="18"/>
                <w:szCs w:val="18"/>
              </w:rPr>
              <w:t>14.0</w:t>
            </w:r>
          </w:p>
        </w:tc>
        <w:tc>
          <w:tcPr>
            <w:tcW w:w="800" w:type="dxa"/>
          </w:tcPr>
          <w:p w14:paraId="49407E9E" w14:textId="77777777" w:rsidR="003E3489" w:rsidRDefault="00405CD3">
            <w:r>
              <w:rPr>
                <w:sz w:val="18"/>
                <w:szCs w:val="18"/>
              </w:rPr>
              <w:t>90</w:t>
            </w:r>
          </w:p>
        </w:tc>
        <w:tc>
          <w:tcPr>
            <w:tcW w:w="800" w:type="dxa"/>
          </w:tcPr>
          <w:p w14:paraId="49407E9F" w14:textId="77777777" w:rsidR="003E3489" w:rsidRDefault="00405CD3">
            <w:r>
              <w:rPr>
                <w:sz w:val="18"/>
                <w:szCs w:val="18"/>
              </w:rPr>
              <w:t>70</w:t>
            </w:r>
          </w:p>
        </w:tc>
        <w:tc>
          <w:tcPr>
            <w:tcW w:w="700" w:type="dxa"/>
          </w:tcPr>
          <w:p w14:paraId="49407EA0" w14:textId="77777777" w:rsidR="003E3489" w:rsidRDefault="00405CD3">
            <w:r>
              <w:rPr>
                <w:sz w:val="18"/>
                <w:szCs w:val="18"/>
              </w:rPr>
              <w:t>0.4</w:t>
            </w:r>
          </w:p>
        </w:tc>
        <w:tc>
          <w:tcPr>
            <w:tcW w:w="600" w:type="dxa"/>
          </w:tcPr>
          <w:p w14:paraId="49407EA1" w14:textId="77777777" w:rsidR="003E3489" w:rsidRDefault="00405CD3">
            <w:r>
              <w:rPr>
                <w:sz w:val="18"/>
                <w:szCs w:val="18"/>
              </w:rPr>
              <w:t>Yes</w:t>
            </w:r>
          </w:p>
        </w:tc>
      </w:tr>
      <w:tr w:rsidR="003E3489" w14:paraId="49407EAD" w14:textId="77777777">
        <w:tc>
          <w:tcPr>
            <w:tcW w:w="1500" w:type="dxa"/>
          </w:tcPr>
          <w:p w14:paraId="49407EA3" w14:textId="77777777" w:rsidR="003E3489" w:rsidRDefault="00405CD3">
            <w:r>
              <w:rPr>
                <w:sz w:val="18"/>
                <w:szCs w:val="18"/>
              </w:rPr>
              <w:t>Norovirus</w:t>
            </w:r>
          </w:p>
        </w:tc>
        <w:tc>
          <w:tcPr>
            <w:tcW w:w="1000" w:type="dxa"/>
          </w:tcPr>
          <w:p w14:paraId="49407EA4" w14:textId="77777777" w:rsidR="003E3489" w:rsidRDefault="00405CD3">
            <w:r>
              <w:rPr>
                <w:sz w:val="18"/>
                <w:szCs w:val="18"/>
              </w:rPr>
              <w:t>1.5–2.0</w:t>
            </w:r>
          </w:p>
        </w:tc>
        <w:tc>
          <w:tcPr>
            <w:tcW w:w="800" w:type="dxa"/>
          </w:tcPr>
          <w:p w14:paraId="49407EA5" w14:textId="77777777" w:rsidR="003E3489" w:rsidRDefault="00405CD3">
            <w:r>
              <w:rPr>
                <w:sz w:val="18"/>
                <w:szCs w:val="18"/>
              </w:rPr>
              <w:t>2.0</w:t>
            </w:r>
          </w:p>
        </w:tc>
        <w:tc>
          <w:tcPr>
            <w:tcW w:w="800" w:type="dxa"/>
          </w:tcPr>
          <w:p w14:paraId="49407EA6" w14:textId="77777777" w:rsidR="003E3489" w:rsidRDefault="00405CD3">
            <w:r>
              <w:rPr>
                <w:sz w:val="18"/>
                <w:szCs w:val="18"/>
              </w:rPr>
              <w:t>~0.001</w:t>
            </w:r>
          </w:p>
        </w:tc>
        <w:tc>
          <w:tcPr>
            <w:tcW w:w="900" w:type="dxa"/>
          </w:tcPr>
          <w:p w14:paraId="49407EA7" w14:textId="77777777" w:rsidR="003E3489" w:rsidRDefault="00405CD3">
            <w:r>
              <w:rPr>
                <w:sz w:val="18"/>
                <w:szCs w:val="18"/>
              </w:rPr>
              <w:t>0.75</w:t>
            </w:r>
          </w:p>
        </w:tc>
        <w:tc>
          <w:tcPr>
            <w:tcW w:w="900" w:type="dxa"/>
          </w:tcPr>
          <w:p w14:paraId="49407EA8" w14:textId="77777777" w:rsidR="003E3489" w:rsidRDefault="00405CD3">
            <w:r>
              <w:rPr>
                <w:sz w:val="18"/>
                <w:szCs w:val="18"/>
              </w:rPr>
              <w:t>2.0</w:t>
            </w:r>
          </w:p>
        </w:tc>
        <w:tc>
          <w:tcPr>
            <w:tcW w:w="800" w:type="dxa"/>
          </w:tcPr>
          <w:p w14:paraId="49407EA9" w14:textId="77777777" w:rsidR="003E3489" w:rsidRDefault="00405CD3">
            <w:r>
              <w:rPr>
                <w:sz w:val="18"/>
                <w:szCs w:val="18"/>
              </w:rPr>
              <w:t>60</w:t>
            </w:r>
          </w:p>
        </w:tc>
        <w:tc>
          <w:tcPr>
            <w:tcW w:w="800" w:type="dxa"/>
          </w:tcPr>
          <w:p w14:paraId="49407EAA" w14:textId="77777777" w:rsidR="003E3489" w:rsidRDefault="00405CD3">
            <w:r>
              <w:rPr>
                <w:sz w:val="18"/>
                <w:szCs w:val="18"/>
              </w:rPr>
              <w:t>37.5</w:t>
            </w:r>
          </w:p>
        </w:tc>
        <w:tc>
          <w:tcPr>
            <w:tcW w:w="700" w:type="dxa"/>
          </w:tcPr>
          <w:p w14:paraId="49407EAB" w14:textId="77777777" w:rsidR="003E3489" w:rsidRDefault="00405CD3">
            <w:r>
              <w:rPr>
                <w:sz w:val="18"/>
                <w:szCs w:val="18"/>
              </w:rPr>
              <w:t>2.5</w:t>
            </w:r>
          </w:p>
        </w:tc>
        <w:tc>
          <w:tcPr>
            <w:tcW w:w="600" w:type="dxa"/>
          </w:tcPr>
          <w:p w14:paraId="49407EAC" w14:textId="77777777" w:rsidR="003E3489" w:rsidRDefault="00405CD3">
            <w:r>
              <w:rPr>
                <w:sz w:val="18"/>
                <w:szCs w:val="18"/>
              </w:rPr>
              <w:t>Yes</w:t>
            </w:r>
          </w:p>
        </w:tc>
      </w:tr>
      <w:tr w:rsidR="003E3489" w14:paraId="49407EB8" w14:textId="77777777">
        <w:tc>
          <w:tcPr>
            <w:tcW w:w="1500" w:type="dxa"/>
          </w:tcPr>
          <w:p w14:paraId="49407EAE" w14:textId="77777777" w:rsidR="003E3489" w:rsidRDefault="00405CD3">
            <w:r>
              <w:rPr>
                <w:sz w:val="18"/>
                <w:szCs w:val="18"/>
              </w:rPr>
              <w:t>Ebola</w:t>
            </w:r>
          </w:p>
        </w:tc>
        <w:tc>
          <w:tcPr>
            <w:tcW w:w="1000" w:type="dxa"/>
          </w:tcPr>
          <w:p w14:paraId="49407EAF" w14:textId="77777777" w:rsidR="003E3489" w:rsidRDefault="00405CD3">
            <w:r>
              <w:rPr>
                <w:sz w:val="18"/>
                <w:szCs w:val="18"/>
              </w:rPr>
              <w:t>1.2–2.0</w:t>
            </w:r>
          </w:p>
        </w:tc>
        <w:tc>
          <w:tcPr>
            <w:tcW w:w="800" w:type="dxa"/>
          </w:tcPr>
          <w:p w14:paraId="49407EB0" w14:textId="77777777" w:rsidR="003E3489" w:rsidRDefault="00405CD3">
            <w:r>
              <w:rPr>
                <w:sz w:val="18"/>
                <w:szCs w:val="18"/>
              </w:rPr>
              <w:t>10.5</w:t>
            </w:r>
          </w:p>
        </w:tc>
        <w:tc>
          <w:tcPr>
            <w:tcW w:w="800" w:type="dxa"/>
          </w:tcPr>
          <w:p w14:paraId="49407EB1" w14:textId="77777777" w:rsidR="003E3489" w:rsidRDefault="00405CD3">
            <w:r>
              <w:rPr>
                <w:sz w:val="18"/>
                <w:szCs w:val="18"/>
              </w:rPr>
              <w:t>57.5</w:t>
            </w:r>
          </w:p>
        </w:tc>
        <w:tc>
          <w:tcPr>
            <w:tcW w:w="900" w:type="dxa"/>
          </w:tcPr>
          <w:p w14:paraId="49407EB2" w14:textId="77777777" w:rsidR="003E3489" w:rsidRDefault="00405CD3">
            <w:r>
              <w:rPr>
                <w:sz w:val="18"/>
                <w:szCs w:val="18"/>
              </w:rPr>
              <w:t>90</w:t>
            </w:r>
          </w:p>
        </w:tc>
        <w:tc>
          <w:tcPr>
            <w:tcW w:w="900" w:type="dxa"/>
          </w:tcPr>
          <w:p w14:paraId="49407EB3" w14:textId="77777777" w:rsidR="003E3489" w:rsidRDefault="00405CD3">
            <w:r>
              <w:rPr>
                <w:sz w:val="18"/>
                <w:szCs w:val="18"/>
              </w:rPr>
              <w:t>10.5</w:t>
            </w:r>
          </w:p>
        </w:tc>
        <w:tc>
          <w:tcPr>
            <w:tcW w:w="800" w:type="dxa"/>
          </w:tcPr>
          <w:p w14:paraId="49407EB4" w14:textId="77777777" w:rsidR="003E3489" w:rsidRDefault="00405CD3">
            <w:r>
              <w:rPr>
                <w:sz w:val="18"/>
                <w:szCs w:val="18"/>
              </w:rPr>
              <w:t>90</w:t>
            </w:r>
          </w:p>
        </w:tc>
        <w:tc>
          <w:tcPr>
            <w:tcW w:w="800" w:type="dxa"/>
          </w:tcPr>
          <w:p w14:paraId="49407EB5" w14:textId="77777777" w:rsidR="003E3489" w:rsidRDefault="00405CD3">
            <w:r>
              <w:rPr>
                <w:sz w:val="18"/>
                <w:szCs w:val="18"/>
              </w:rPr>
              <w:t>67.5</w:t>
            </w:r>
          </w:p>
        </w:tc>
        <w:tc>
          <w:tcPr>
            <w:tcW w:w="700" w:type="dxa"/>
          </w:tcPr>
          <w:p w14:paraId="49407EB6" w14:textId="77777777" w:rsidR="003E3489" w:rsidRDefault="00405CD3">
            <w:r>
              <w:rPr>
                <w:sz w:val="18"/>
                <w:szCs w:val="18"/>
              </w:rPr>
              <w:t>0.1</w:t>
            </w:r>
          </w:p>
        </w:tc>
        <w:tc>
          <w:tcPr>
            <w:tcW w:w="600" w:type="dxa"/>
          </w:tcPr>
          <w:p w14:paraId="49407EB7" w14:textId="77777777" w:rsidR="003E3489" w:rsidRDefault="00405CD3">
            <w:r>
              <w:rPr>
                <w:sz w:val="18"/>
                <w:szCs w:val="18"/>
              </w:rPr>
              <w:t>Yes</w:t>
            </w:r>
          </w:p>
        </w:tc>
      </w:tr>
      <w:tr w:rsidR="003E3489" w14:paraId="49407EC3" w14:textId="77777777">
        <w:tc>
          <w:tcPr>
            <w:tcW w:w="1500" w:type="dxa"/>
          </w:tcPr>
          <w:p w14:paraId="49407EB9" w14:textId="77777777" w:rsidR="003E3489" w:rsidRDefault="00405CD3">
            <w:r>
              <w:rPr>
                <w:sz w:val="18"/>
                <w:szCs w:val="18"/>
              </w:rPr>
              <w:t>Diphtheria</w:t>
            </w:r>
          </w:p>
        </w:tc>
        <w:tc>
          <w:tcPr>
            <w:tcW w:w="1000" w:type="dxa"/>
          </w:tcPr>
          <w:p w14:paraId="49407EBA" w14:textId="77777777" w:rsidR="003E3489" w:rsidRDefault="00405CD3">
            <w:r>
              <w:rPr>
                <w:sz w:val="18"/>
                <w:szCs w:val="18"/>
              </w:rPr>
              <w:t>1.5–4.0</w:t>
            </w:r>
          </w:p>
        </w:tc>
        <w:tc>
          <w:tcPr>
            <w:tcW w:w="800" w:type="dxa"/>
          </w:tcPr>
          <w:p w14:paraId="49407EBB" w14:textId="77777777" w:rsidR="003E3489" w:rsidRDefault="00405CD3">
            <w:r>
              <w:rPr>
                <w:sz w:val="18"/>
                <w:szCs w:val="18"/>
              </w:rPr>
              <w:t>21.0</w:t>
            </w:r>
          </w:p>
        </w:tc>
        <w:tc>
          <w:tcPr>
            <w:tcW w:w="800" w:type="dxa"/>
          </w:tcPr>
          <w:p w14:paraId="49407EBC" w14:textId="77777777" w:rsidR="003E3489" w:rsidRDefault="00405CD3">
            <w:r>
              <w:rPr>
                <w:sz w:val="18"/>
                <w:szCs w:val="18"/>
              </w:rPr>
              <w:t>7.5</w:t>
            </w:r>
          </w:p>
        </w:tc>
        <w:tc>
          <w:tcPr>
            <w:tcW w:w="900" w:type="dxa"/>
          </w:tcPr>
          <w:p w14:paraId="49407EBD" w14:textId="77777777" w:rsidR="003E3489" w:rsidRDefault="00405CD3">
            <w:r>
              <w:rPr>
                <w:sz w:val="18"/>
                <w:szCs w:val="18"/>
              </w:rPr>
              <w:t>30</w:t>
            </w:r>
          </w:p>
        </w:tc>
        <w:tc>
          <w:tcPr>
            <w:tcW w:w="900" w:type="dxa"/>
          </w:tcPr>
          <w:p w14:paraId="49407EBE" w14:textId="77777777" w:rsidR="003E3489" w:rsidRDefault="00405CD3">
            <w:r>
              <w:rPr>
                <w:sz w:val="18"/>
                <w:szCs w:val="18"/>
              </w:rPr>
              <w:t>7.5</w:t>
            </w:r>
          </w:p>
        </w:tc>
        <w:tc>
          <w:tcPr>
            <w:tcW w:w="800" w:type="dxa"/>
          </w:tcPr>
          <w:p w14:paraId="49407EBF" w14:textId="77777777" w:rsidR="003E3489" w:rsidRDefault="00405CD3">
            <w:r>
              <w:rPr>
                <w:sz w:val="18"/>
                <w:szCs w:val="18"/>
              </w:rPr>
              <w:t>40</w:t>
            </w:r>
          </w:p>
        </w:tc>
        <w:tc>
          <w:tcPr>
            <w:tcW w:w="800" w:type="dxa"/>
          </w:tcPr>
          <w:p w14:paraId="49407EC0" w14:textId="77777777" w:rsidR="003E3489" w:rsidRDefault="00405CD3">
            <w:r>
              <w:rPr>
                <w:sz w:val="18"/>
                <w:szCs w:val="18"/>
              </w:rPr>
              <w:t>32.5</w:t>
            </w:r>
          </w:p>
        </w:tc>
        <w:tc>
          <w:tcPr>
            <w:tcW w:w="700" w:type="dxa"/>
          </w:tcPr>
          <w:p w14:paraId="49407EC1" w14:textId="77777777" w:rsidR="003E3489" w:rsidRDefault="00405CD3">
            <w:r>
              <w:rPr>
                <w:sz w:val="18"/>
                <w:szCs w:val="18"/>
              </w:rPr>
              <w:t>0.02</w:t>
            </w:r>
          </w:p>
        </w:tc>
        <w:tc>
          <w:tcPr>
            <w:tcW w:w="600" w:type="dxa"/>
          </w:tcPr>
          <w:p w14:paraId="49407EC2" w14:textId="7FB380A8" w:rsidR="003E3489" w:rsidRDefault="00405CD3">
            <w:r>
              <w:rPr>
                <w:sz w:val="18"/>
                <w:szCs w:val="18"/>
              </w:rPr>
              <w:t>No</w:t>
            </w:r>
          </w:p>
        </w:tc>
      </w:tr>
    </w:tbl>
    <w:p w14:paraId="49407F1B" w14:textId="34FC5750" w:rsidR="003E3489" w:rsidRDefault="009708F5" w:rsidP="009708F5">
      <w:pPr>
        <w:pStyle w:val="Caption"/>
      </w:pPr>
      <w:fldSimple w:instr=" SEQ Figure \* ARABIC ">
        <w:r>
          <w:rPr>
            <w:noProof/>
          </w:rPr>
          <w:t>5</w:t>
        </w:r>
      </w:fldSimple>
      <w:r>
        <w:t>Notes. Values are midpoints of the ranges in Supplementary Table S1; PSA samples uniformly from those ranges. Prev = baseline arrival prevalence. Detect = fraction of infected arrivals detectable at arrival (phi). WBE = whether the pathogen is included in the wastewater-gate analysis; the evidence basis for each pathogen's inclusion or exclusion is given in Supplementary Table S2.</w:t>
      </w:r>
    </w:p>
    <w:p w14:paraId="49407EC4" w14:textId="3D513708" w:rsidR="003E3489" w:rsidRDefault="003E3489">
      <w:pPr>
        <w:spacing w:before="80" w:after="200"/>
      </w:pPr>
    </w:p>
    <w:p w14:paraId="49407EC5" w14:textId="77777777" w:rsidR="003E3489" w:rsidRDefault="00405CD3">
      <w:pPr>
        <w:pStyle w:val="Heading2"/>
        <w:keepNext/>
        <w:keepLines/>
        <w:spacing w:before="240" w:after="120"/>
      </w:pPr>
      <w:r>
        <w:t>2.9 Base-case assumptions</w:t>
      </w:r>
    </w:p>
    <w:p w14:paraId="49407EC6" w14:textId="77777777" w:rsidR="003E3489" w:rsidRDefault="00405CD3">
      <w:pPr>
        <w:spacing w:after="160"/>
        <w:jc w:val="both"/>
      </w:pPr>
      <w:r>
        <w:rPr>
          <w:sz w:val="24"/>
          <w:szCs w:val="24"/>
        </w:rPr>
        <w:t>Pathogen-specific parameters (effective reproduction number, infectious period, case-fatality parameter, hospitalisation rate and duration, symptomatic fraction, fraction detectable at arrival, and baseline arrival prevalence) are summarised in Table 2, with full ranges, sources, and per-pathogen mortality-denominator determinations in Supplementary Table S1. Point estimates used in deterministic analyses are the midpoint of each parameter's cited range. Surveillance-strategy assumptions are summarised in Table 1.</w:t>
      </w:r>
    </w:p>
    <w:p w14:paraId="49407EC7" w14:textId="77777777" w:rsidR="003E3489" w:rsidRDefault="00405CD3">
      <w:pPr>
        <w:pStyle w:val="Heading2"/>
        <w:keepNext/>
        <w:keepLines/>
        <w:spacing w:before="240" w:after="120"/>
      </w:pPr>
      <w:r>
        <w:t>2.10 Sensitivity analysis</w:t>
      </w:r>
    </w:p>
    <w:p w14:paraId="49407EC8" w14:textId="77777777" w:rsidR="003E3489" w:rsidRDefault="00405CD3">
      <w:pPr>
        <w:spacing w:after="160"/>
        <w:jc w:val="both"/>
      </w:pPr>
      <w:r>
        <w:rPr>
          <w:sz w:val="24"/>
          <w:szCs w:val="24"/>
        </w:rPr>
        <w:t>Deterministic (one-way and structured multi-way) sensitivity analyses varied: traveller prevalence (0.5x, 1.0x, 2.0x baseline, for all six pathogens and all four strategies); VSL (four anchors: USD 300,000; 1,000,000; 3,500,000 [base case]; 11,600,000); and domestic countermeasure assumptions (response-delay timing: 14, 21, 35, 50 days; reduction strength: 40%, 60%, 80%; ramp duration: 7, 14, 21 days; 36 combinations per pathogen). A symmetric-performance comparison additionally varied a shared sensitivity level (90-99%) applied identically to laboratory PCR and high-throughput molecular testing, to characterise the strategy comparison under matched, rather than divergent, diagnostic performance.</w:t>
      </w:r>
    </w:p>
    <w:p w14:paraId="49407EC9" w14:textId="77777777" w:rsidR="003E3489" w:rsidRDefault="00405CD3">
      <w:pPr>
        <w:pStyle w:val="Heading2"/>
        <w:keepNext/>
        <w:keepLines/>
        <w:spacing w:before="240" w:after="120"/>
      </w:pPr>
      <w:r>
        <w:t>2.11 Probabilistic sensitivity analysis</w:t>
      </w:r>
    </w:p>
    <w:p w14:paraId="49407ECA" w14:textId="2A482698" w:rsidR="003E3489" w:rsidRDefault="00405CD3">
      <w:pPr>
        <w:spacing w:after="160"/>
        <w:jc w:val="both"/>
      </w:pPr>
      <w:r>
        <w:rPr>
          <w:sz w:val="24"/>
          <w:szCs w:val="24"/>
        </w:rPr>
        <w:t xml:space="preserve">Probabilistic sensitivity analysis (PSA) was conducted for each of the six primary pathogens independently: 10,000 Monte Carlo iterations, fixed random seed (20260811, offset by pathogen index for distinct but reproducible per-pathogen streams). Parameters were drawn from distributions moment-matched to each cited range treated as an approximate 95% interval, using Beta distributions for bounded proportions, log-normal for the effective reproduction number and infectious period, and Gamma for per-test cost and VSL; the distribution families and their parameterisation are given in Supplementary Methods S2. Each iteration's sampled per-test cost is applied to that iteration's programme-cost term, so programme cost varies alongside the epidemiological and valuation parameters. Sentinel RT-LAMP and laboratory PCR sensitivity and specificity were sampled from identical distributions in every iteration (not independently narrower or wider for either platform), consistent with the base-case symmetric-performance specification. Specificity is sampled and reported alongside every iteration's other parameters, but, consistent with the scope of the cost function, it does not enter the total-cost calculation for any strategy in any iteration; it is propagated through PSA as an operational-output uncertainty </w:t>
      </w:r>
      <w:r>
        <w:rPr>
          <w:sz w:val="24"/>
          <w:szCs w:val="24"/>
        </w:rPr>
        <w:lastRenderedPageBreak/>
        <w:t>dimension, not because it causally affects total societal cost. For each iteration, total societal cost was computed for all four primary strategies and the cost-minimising strategy recorded; the proportion of iterations in which each strategy was cost-minimising is reported as its probability of being cost-minimising. Convergence was assessed at 1,000, 5,000 and 10,000 iterations for the most and least decisive primary pathogens, pre-specified on that basis, with a separate check for the measles stress-test scenario (Section 3.8), which falls outside the six-pathogen PSA scope.</w:t>
      </w:r>
    </w:p>
    <w:p w14:paraId="49407ECB" w14:textId="77777777" w:rsidR="003E3489" w:rsidRDefault="00405CD3">
      <w:pPr>
        <w:pStyle w:val="Heading2"/>
        <w:keepNext/>
        <w:keepLines/>
        <w:spacing w:before="240" w:after="120"/>
      </w:pPr>
      <w:r>
        <w:t>2.12 Model verification and validation</w:t>
      </w:r>
    </w:p>
    <w:p w14:paraId="49407ECC" w14:textId="77777777" w:rsidR="003E3489" w:rsidRDefault="00405CD3">
      <w:pPr>
        <w:spacing w:after="160"/>
        <w:jc w:val="both"/>
      </w:pPr>
      <w:r>
        <w:rPr>
          <w:sz w:val="24"/>
          <w:szCs w:val="24"/>
        </w:rPr>
        <w:t>Automated structural checks were applied and passed: reduction to the no-screening case at zero sensitivity; monotonicity of missed infections in sensitivity and of false positives in specificity; epidemic decline under Rt &lt; 1 with no continuing importation; consistent propagation of infectious-period changes; and non-repetition of mortality and hospitalisation costs within a case's infectious period. Population conservation was checked directly: S + I + R is not exactly conserved at N under the open-population importation formulation, and the drift was negligible (at most 0.017% of N over the 365-day horizon, with &lt;0.005% effect on total cost or strategy ranking). The full check record is in Extended Methods S-MV.</w:t>
      </w:r>
    </w:p>
    <w:p w14:paraId="49407ECD" w14:textId="77777777" w:rsidR="003E3489" w:rsidRDefault="00405CD3">
      <w:pPr>
        <w:spacing w:after="160"/>
        <w:jc w:val="both"/>
      </w:pPr>
      <w:r>
        <w:rPr>
          <w:sz w:val="24"/>
          <w:szCs w:val="24"/>
        </w:rPr>
        <w:t>A structural face-validity assessment was additionally conducted against three historical importation events (Li et al., 2020; Cho et al., 2016; Fraser et al., 2009). This was a structural check, not predictive or prospective validation.</w:t>
      </w:r>
    </w:p>
    <w:p w14:paraId="49407ECE" w14:textId="77777777" w:rsidR="003E3489" w:rsidRDefault="00405CD3">
      <w:pPr>
        <w:pStyle w:val="Heading2"/>
        <w:keepNext/>
        <w:keepLines/>
        <w:spacing w:before="240" w:after="120"/>
      </w:pPr>
      <w:r>
        <w:t>2.13 Software and reproducibility</w:t>
      </w:r>
    </w:p>
    <w:p w14:paraId="49407ECF" w14:textId="77777777" w:rsidR="003E3489" w:rsidRDefault="00405CD3">
      <w:pPr>
        <w:spacing w:after="160"/>
        <w:jc w:val="both"/>
      </w:pPr>
      <w:r>
        <w:rPr>
          <w:sz w:val="24"/>
          <w:szCs w:val="24"/>
        </w:rPr>
        <w:t>The analysis was implemented as a standalone Python package, distinct from and not using outputs of an earlier proprietary simulator developed by the sponsoring organisation (Declarations); all numerical results in this paper are produced by the code provided as Supplementary Material, together with the fixed random seed, the full pathogen and modality parameter tables and all deterministic and probabilistic result files. Each pathogen's PSA parameters are drawn from an independent stream seeded as 20260811 plus the pathogen's index, so any single pathogen reproduces in isolation, and the supplied verification script confirms that the sampled per-test cost enters programme and total cost by exactly the expected amount, enters no epidemiological term, and changes no health outcome.</w:t>
      </w:r>
    </w:p>
    <w:p w14:paraId="49407ED0" w14:textId="77777777" w:rsidR="003E3489" w:rsidRDefault="00405CD3">
      <w:pPr>
        <w:pStyle w:val="Heading1"/>
        <w:keepNext/>
        <w:keepLines/>
        <w:spacing w:before="240" w:after="120"/>
      </w:pPr>
      <w:r>
        <w:t>3. Results</w:t>
      </w:r>
    </w:p>
    <w:p w14:paraId="49407ED1" w14:textId="77777777" w:rsidR="003E3489" w:rsidRDefault="00405CD3">
      <w:pPr>
        <w:spacing w:after="160"/>
        <w:jc w:val="both"/>
      </w:pPr>
      <w:r>
        <w:rPr>
          <w:sz w:val="24"/>
          <w:szCs w:val="24"/>
        </w:rPr>
        <w:t>The results address the paper's three objectives in sequence. The primary passenger-screening comparison is reported first: which strategy minimises expected societal cost, how robustly, and for which pathogens. Section 3.9 reports the WBE gate analysis: under what conditions does aircraft wastewater-triggered targeted follow-up become economically competitive with universal screening. Section 3.10 reports the lead-time value analysis: what maximum annual expenditure could be justified if advance warning activated earlier screening or countermeasures, given the stated scenario assumptions.</w:t>
      </w:r>
    </w:p>
    <w:p w14:paraId="49407ED2" w14:textId="77777777" w:rsidR="003E3489" w:rsidRDefault="00405CD3">
      <w:pPr>
        <w:pStyle w:val="Heading2"/>
        <w:keepNext/>
        <w:keepLines/>
        <w:spacing w:before="240" w:after="120"/>
      </w:pPr>
      <w:r>
        <w:t>3.1 Base-case surveillance outcomes across six pathogens</w:t>
      </w:r>
    </w:p>
    <w:p w14:paraId="49407ED3" w14:textId="775D0AB9" w:rsidR="003E3489" w:rsidRDefault="00405CD3">
      <w:pPr>
        <w:spacing w:after="160"/>
        <w:jc w:val="both"/>
      </w:pPr>
      <w:r>
        <w:rPr>
          <w:sz w:val="24"/>
          <w:szCs w:val="24"/>
        </w:rPr>
        <w:t xml:space="preserve">At baseline (1.0×) prevalence, high-throughput molecular testing, parameterised throughout on the Avicena Sentinel RT-LAMP platform (Section 2.7), was the deterministic cost-minimising strategy for all six primary pathogens, with total 365-day discounted societal costs </w:t>
      </w:r>
      <w:r>
        <w:rPr>
          <w:sz w:val="24"/>
          <w:szCs w:val="24"/>
        </w:rPr>
        <w:lastRenderedPageBreak/>
        <w:t xml:space="preserve">ranging from USD 81,691,072 (influenza A/B) to USD 412,212,613 (Ebola virus disease) (Table 3). Across the full prevalence grid (0.5×, 1.0×, 2.0× baseline; 6 pathogens × 3 prevalence scenarios × 4 strategies), high-throughput molecular testing was cost-minimising in every prevalence scenario for all six pathogens with no exception. Figure 3 generalises these baseline results into a decision surface spanning effective reproduction number and per-case economic burden, with each pathogen's base-case position overlaid. Varying the incremental ICU cost rate across USD 2,000–6,000 per </w:t>
      </w:r>
      <w:r w:rsidR="008E5BD3">
        <w:rPr>
          <w:sz w:val="24"/>
          <w:szCs w:val="24"/>
        </w:rPr>
        <w:t>ICU Day</w:t>
      </w:r>
      <w:r>
        <w:rPr>
          <w:sz w:val="24"/>
          <w:szCs w:val="24"/>
        </w:rPr>
        <w:t xml:space="preserve"> changed the cost-minimising strategy in none of the eighteen pathogen × prevalence-scenario combinations. Under the base-case ICU utilisation inputs, the ICU component accounted for up to 2.1% of total societal cost at the central rate and up to 4.1% at the upper end of that range, across the same 72 combinations of six pathogens, three prevalence scenarios and four strategies (Supplementary Methods S3).</w:t>
      </w:r>
    </w:p>
    <w:p w14:paraId="69D787E9" w14:textId="06020FB8" w:rsidR="00B603E3" w:rsidRDefault="00B603E3" w:rsidP="00B603E3">
      <w:pPr>
        <w:pStyle w:val="Caption"/>
        <w:keepNext/>
      </w:pPr>
      <w:r>
        <w:t>Table 3</w:t>
      </w:r>
      <w:fldSimple w:instr=" SEQ Table \* ARABIC ">
        <w:r>
          <w:rPr>
            <w:noProof/>
          </w:rPr>
          <w:t>3</w:t>
        </w:r>
      </w:fldSimple>
      <w:r>
        <w:t xml:space="preserve">. </w:t>
      </w:r>
      <w:r w:rsidRPr="00B603E3">
        <w:t>Cost-minimising strategy and total 365-day discounted societal cost by pathogen at baseline (1.0×) prevalence, high-throughput molecular testing.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2"/>
        <w:gridCol w:w="1700"/>
        <w:gridCol w:w="2550"/>
        <w:gridCol w:w="1913"/>
        <w:gridCol w:w="1275"/>
      </w:tblGrid>
      <w:tr w:rsidR="003E3489" w14:paraId="49407ED9" w14:textId="77777777">
        <w:trPr>
          <w:tblHeader/>
        </w:trPr>
        <w:tc>
          <w:tcPr>
            <w:tcW w:w="1800" w:type="dxa"/>
            <w:shd w:val="clear" w:color="auto" w:fill="D9D9D9"/>
          </w:tcPr>
          <w:p w14:paraId="49407ED4" w14:textId="77777777" w:rsidR="003E3489" w:rsidRDefault="00405CD3">
            <w:r>
              <w:rPr>
                <w:b/>
                <w:bCs/>
              </w:rPr>
              <w:t>Pathogen</w:t>
            </w:r>
          </w:p>
        </w:tc>
        <w:tc>
          <w:tcPr>
            <w:tcW w:w="1600" w:type="dxa"/>
            <w:shd w:val="clear" w:color="auto" w:fill="D9D9D9"/>
          </w:tcPr>
          <w:p w14:paraId="49407ED5" w14:textId="77777777" w:rsidR="003E3489" w:rsidRDefault="00405CD3">
            <w:r>
              <w:rPr>
                <w:b/>
                <w:bCs/>
              </w:rPr>
              <w:t>Strategy</w:t>
            </w:r>
          </w:p>
        </w:tc>
        <w:tc>
          <w:tcPr>
            <w:tcW w:w="2400" w:type="dxa"/>
            <w:shd w:val="clear" w:color="auto" w:fill="D9D9D9"/>
          </w:tcPr>
          <w:p w14:paraId="49407ED6" w14:textId="77777777" w:rsidR="003E3489" w:rsidRDefault="00405CD3">
            <w:r>
              <w:rPr>
                <w:b/>
                <w:bCs/>
              </w:rPr>
              <w:t>Total cost (365d, USD)</w:t>
            </w:r>
          </w:p>
        </w:tc>
        <w:tc>
          <w:tcPr>
            <w:tcW w:w="1800" w:type="dxa"/>
            <w:shd w:val="clear" w:color="auto" w:fill="D9D9D9"/>
          </w:tcPr>
          <w:p w14:paraId="49407ED7" w14:textId="77777777" w:rsidR="003E3489" w:rsidRDefault="00405CD3">
            <w:r>
              <w:rPr>
                <w:b/>
                <w:bCs/>
              </w:rPr>
              <w:t>Cumul. infections</w:t>
            </w:r>
          </w:p>
        </w:tc>
        <w:tc>
          <w:tcPr>
            <w:tcW w:w="1200" w:type="dxa"/>
            <w:shd w:val="clear" w:color="auto" w:fill="D9D9D9"/>
          </w:tcPr>
          <w:p w14:paraId="49407ED8" w14:textId="77777777" w:rsidR="003E3489" w:rsidRDefault="00405CD3">
            <w:r>
              <w:rPr>
                <w:b/>
                <w:bCs/>
              </w:rPr>
              <w:t>Deaths</w:t>
            </w:r>
          </w:p>
        </w:tc>
      </w:tr>
      <w:tr w:rsidR="003E3489" w14:paraId="49407EDF" w14:textId="77777777">
        <w:tc>
          <w:tcPr>
            <w:tcW w:w="1800" w:type="dxa"/>
          </w:tcPr>
          <w:p w14:paraId="49407EDA" w14:textId="77777777" w:rsidR="003E3489" w:rsidRDefault="00405CD3">
            <w:r>
              <w:t>SARS-CoV-2</w:t>
            </w:r>
          </w:p>
        </w:tc>
        <w:tc>
          <w:tcPr>
            <w:tcW w:w="1600" w:type="dxa"/>
          </w:tcPr>
          <w:p w14:paraId="49407EDB" w14:textId="77777777" w:rsidR="003E3489" w:rsidRDefault="00405CD3">
            <w:r>
              <w:t>Molecular</w:t>
            </w:r>
          </w:p>
        </w:tc>
        <w:tc>
          <w:tcPr>
            <w:tcW w:w="2400" w:type="dxa"/>
          </w:tcPr>
          <w:p w14:paraId="49407EDC" w14:textId="77777777" w:rsidR="003E3489" w:rsidRDefault="00405CD3">
            <w:r>
              <w:t>$155,591,725</w:t>
            </w:r>
          </w:p>
        </w:tc>
        <w:tc>
          <w:tcPr>
            <w:tcW w:w="1800" w:type="dxa"/>
          </w:tcPr>
          <w:p w14:paraId="49407EDD" w14:textId="77777777" w:rsidR="003E3489" w:rsidRDefault="00405CD3">
            <w:r>
              <w:t>3,070</w:t>
            </w:r>
          </w:p>
        </w:tc>
        <w:tc>
          <w:tcPr>
            <w:tcW w:w="1200" w:type="dxa"/>
          </w:tcPr>
          <w:p w14:paraId="49407EDE" w14:textId="77777777" w:rsidR="003E3489" w:rsidRDefault="00405CD3">
            <w:r>
              <w:t>23.0</w:t>
            </w:r>
          </w:p>
        </w:tc>
      </w:tr>
      <w:tr w:rsidR="003E3489" w14:paraId="49407EE5" w14:textId="77777777">
        <w:tc>
          <w:tcPr>
            <w:tcW w:w="1800" w:type="dxa"/>
          </w:tcPr>
          <w:p w14:paraId="49407EE0" w14:textId="77777777" w:rsidR="003E3489" w:rsidRDefault="00405CD3">
            <w:r>
              <w:t>Influenza A/B</w:t>
            </w:r>
          </w:p>
        </w:tc>
        <w:tc>
          <w:tcPr>
            <w:tcW w:w="1600" w:type="dxa"/>
          </w:tcPr>
          <w:p w14:paraId="49407EE1" w14:textId="77777777" w:rsidR="003E3489" w:rsidRDefault="00405CD3">
            <w:r>
              <w:t>Molecular</w:t>
            </w:r>
          </w:p>
        </w:tc>
        <w:tc>
          <w:tcPr>
            <w:tcW w:w="2400" w:type="dxa"/>
          </w:tcPr>
          <w:p w14:paraId="49407EE2" w14:textId="77777777" w:rsidR="003E3489" w:rsidRDefault="00405CD3">
            <w:r>
              <w:t>$81,691,072</w:t>
            </w:r>
          </w:p>
        </w:tc>
        <w:tc>
          <w:tcPr>
            <w:tcW w:w="1800" w:type="dxa"/>
          </w:tcPr>
          <w:p w14:paraId="49407EE3" w14:textId="77777777" w:rsidR="003E3489" w:rsidRDefault="00405CD3">
            <w:r>
              <w:t>4,615</w:t>
            </w:r>
          </w:p>
        </w:tc>
        <w:tc>
          <w:tcPr>
            <w:tcW w:w="1200" w:type="dxa"/>
          </w:tcPr>
          <w:p w14:paraId="49407EE4" w14:textId="77777777" w:rsidR="003E3489" w:rsidRDefault="00405CD3">
            <w:r>
              <w:t>2.5</w:t>
            </w:r>
          </w:p>
        </w:tc>
      </w:tr>
      <w:tr w:rsidR="003E3489" w14:paraId="49407EEB" w14:textId="77777777">
        <w:tc>
          <w:tcPr>
            <w:tcW w:w="1800" w:type="dxa"/>
          </w:tcPr>
          <w:p w14:paraId="49407EE6" w14:textId="77777777" w:rsidR="003E3489" w:rsidRDefault="00405CD3">
            <w:r>
              <w:t>Mpox</w:t>
            </w:r>
          </w:p>
        </w:tc>
        <w:tc>
          <w:tcPr>
            <w:tcW w:w="1600" w:type="dxa"/>
          </w:tcPr>
          <w:p w14:paraId="49407EE7" w14:textId="77777777" w:rsidR="003E3489" w:rsidRDefault="00405CD3">
            <w:r>
              <w:t>Molecular</w:t>
            </w:r>
          </w:p>
        </w:tc>
        <w:tc>
          <w:tcPr>
            <w:tcW w:w="2400" w:type="dxa"/>
          </w:tcPr>
          <w:p w14:paraId="49407EE8" w14:textId="77777777" w:rsidR="003E3489" w:rsidRDefault="00405CD3">
            <w:r>
              <w:t>$191,862,251</w:t>
            </w:r>
          </w:p>
        </w:tc>
        <w:tc>
          <w:tcPr>
            <w:tcW w:w="1800" w:type="dxa"/>
          </w:tcPr>
          <w:p w14:paraId="49407EE9" w14:textId="77777777" w:rsidR="003E3489" w:rsidRDefault="00405CD3">
            <w:r>
              <w:t>684</w:t>
            </w:r>
          </w:p>
        </w:tc>
        <w:tc>
          <w:tcPr>
            <w:tcW w:w="1200" w:type="dxa"/>
          </w:tcPr>
          <w:p w14:paraId="49407EEA" w14:textId="77777777" w:rsidR="003E3489" w:rsidRDefault="00405CD3">
            <w:r>
              <w:t>33.8</w:t>
            </w:r>
          </w:p>
        </w:tc>
      </w:tr>
      <w:tr w:rsidR="003E3489" w14:paraId="49407EF1" w14:textId="77777777">
        <w:tc>
          <w:tcPr>
            <w:tcW w:w="1800" w:type="dxa"/>
          </w:tcPr>
          <w:p w14:paraId="49407EEC" w14:textId="77777777" w:rsidR="003E3489" w:rsidRDefault="00405CD3">
            <w:r>
              <w:t>Norovirus</w:t>
            </w:r>
          </w:p>
        </w:tc>
        <w:tc>
          <w:tcPr>
            <w:tcW w:w="1600" w:type="dxa"/>
          </w:tcPr>
          <w:p w14:paraId="49407EED" w14:textId="77777777" w:rsidR="003E3489" w:rsidRDefault="00405CD3">
            <w:r>
              <w:t>Molecular</w:t>
            </w:r>
          </w:p>
        </w:tc>
        <w:tc>
          <w:tcPr>
            <w:tcW w:w="2400" w:type="dxa"/>
          </w:tcPr>
          <w:p w14:paraId="49407EEE" w14:textId="77777777" w:rsidR="003E3489" w:rsidRDefault="00405CD3">
            <w:r>
              <w:t>$102,615,508</w:t>
            </w:r>
          </w:p>
        </w:tc>
        <w:tc>
          <w:tcPr>
            <w:tcW w:w="1800" w:type="dxa"/>
          </w:tcPr>
          <w:p w14:paraId="49407EEF" w14:textId="77777777" w:rsidR="003E3489" w:rsidRDefault="00405CD3">
            <w:r>
              <w:t>795,589</w:t>
            </w:r>
          </w:p>
        </w:tc>
        <w:tc>
          <w:tcPr>
            <w:tcW w:w="1200" w:type="dxa"/>
          </w:tcPr>
          <w:p w14:paraId="49407EF0" w14:textId="77777777" w:rsidR="003E3489" w:rsidRDefault="00405CD3">
            <w:r>
              <w:t>3.6</w:t>
            </w:r>
          </w:p>
        </w:tc>
      </w:tr>
      <w:tr w:rsidR="003E3489" w14:paraId="49407EF7" w14:textId="77777777">
        <w:tc>
          <w:tcPr>
            <w:tcW w:w="1800" w:type="dxa"/>
          </w:tcPr>
          <w:p w14:paraId="49407EF2" w14:textId="77777777" w:rsidR="003E3489" w:rsidRDefault="00405CD3">
            <w:r>
              <w:t>Ebola</w:t>
            </w:r>
          </w:p>
        </w:tc>
        <w:tc>
          <w:tcPr>
            <w:tcW w:w="1600" w:type="dxa"/>
          </w:tcPr>
          <w:p w14:paraId="49407EF3" w14:textId="77777777" w:rsidR="003E3489" w:rsidRDefault="00405CD3">
            <w:r>
              <w:t>Molecular</w:t>
            </w:r>
          </w:p>
        </w:tc>
        <w:tc>
          <w:tcPr>
            <w:tcW w:w="2400" w:type="dxa"/>
          </w:tcPr>
          <w:p w14:paraId="49407EF4" w14:textId="77777777" w:rsidR="003E3489" w:rsidRDefault="00405CD3">
            <w:r>
              <w:t>$412,212,613</w:t>
            </w:r>
          </w:p>
        </w:tc>
        <w:tc>
          <w:tcPr>
            <w:tcW w:w="1800" w:type="dxa"/>
          </w:tcPr>
          <w:p w14:paraId="49407EF5" w14:textId="77777777" w:rsidR="003E3489" w:rsidRDefault="00405CD3">
            <w:r>
              <w:t>187</w:t>
            </w:r>
          </w:p>
        </w:tc>
        <w:tc>
          <w:tcPr>
            <w:tcW w:w="1200" w:type="dxa"/>
          </w:tcPr>
          <w:p w14:paraId="49407EF6" w14:textId="77777777" w:rsidR="003E3489" w:rsidRDefault="00405CD3">
            <w:r>
              <w:t>96.7</w:t>
            </w:r>
          </w:p>
        </w:tc>
      </w:tr>
      <w:tr w:rsidR="003E3489" w14:paraId="49407EFD" w14:textId="77777777">
        <w:tc>
          <w:tcPr>
            <w:tcW w:w="1800" w:type="dxa"/>
          </w:tcPr>
          <w:p w14:paraId="49407EF8" w14:textId="77777777" w:rsidR="003E3489" w:rsidRDefault="00405CD3">
            <w:r>
              <w:t>Diphtheria</w:t>
            </w:r>
          </w:p>
        </w:tc>
        <w:tc>
          <w:tcPr>
            <w:tcW w:w="1600" w:type="dxa"/>
          </w:tcPr>
          <w:p w14:paraId="49407EF9" w14:textId="77777777" w:rsidR="003E3489" w:rsidRDefault="00405CD3">
            <w:r>
              <w:t>Molecular</w:t>
            </w:r>
          </w:p>
        </w:tc>
        <w:tc>
          <w:tcPr>
            <w:tcW w:w="2400" w:type="dxa"/>
          </w:tcPr>
          <w:p w14:paraId="49407EFA" w14:textId="77777777" w:rsidR="003E3489" w:rsidRDefault="00405CD3">
            <w:r>
              <w:t>$90,370,245</w:t>
            </w:r>
          </w:p>
        </w:tc>
        <w:tc>
          <w:tcPr>
            <w:tcW w:w="1800" w:type="dxa"/>
          </w:tcPr>
          <w:p w14:paraId="49407EFB" w14:textId="77777777" w:rsidR="003E3489" w:rsidRDefault="00405CD3">
            <w:r>
              <w:t>174</w:t>
            </w:r>
          </w:p>
        </w:tc>
        <w:tc>
          <w:tcPr>
            <w:tcW w:w="1200" w:type="dxa"/>
          </w:tcPr>
          <w:p w14:paraId="49407EFC" w14:textId="77777777" w:rsidR="003E3489" w:rsidRDefault="00405CD3">
            <w:r>
              <w:t>5.2</w:t>
            </w:r>
          </w:p>
        </w:tc>
      </w:tr>
    </w:tbl>
    <w:p w14:paraId="49407F1B" w14:textId="34FC5750" w:rsidR="003E3489" w:rsidRDefault="009708F5" w:rsidP="009708F5">
      <w:pPr>
        <w:pStyle w:val="Caption"/>
      </w:pPr>
      <w:fldSimple w:instr=" SEQ Figure \* ARABIC ">
        <w:r>
          <w:rPr>
            <w:noProof/>
          </w:rPr>
          <w:t>5</w:t>
        </w:r>
      </w:fldSimple>
      <w:r>
        <w:t>Notes. Cumulative infections and deaths are model outputs under the cost-minimising strategy. All six primary pathogens favour molecular testing in all prevalence scenarios; see Section 3.1 and Supplementary data for full prevalence-grid results.</w:t>
      </w:r>
    </w:p>
    <w:p w14:paraId="269BBBB2" w14:textId="77777777" w:rsidR="00B603E3" w:rsidRDefault="00405CD3" w:rsidP="00B603E3">
      <w:pPr>
        <w:keepNext/>
        <w:keepLines/>
        <w:spacing w:before="160" w:after="80"/>
        <w:jc w:val="center"/>
      </w:pPr>
      <w:r>
        <w:rPr>
          <w:noProof/>
          <w:sz w:val="24"/>
        </w:rPr>
        <w:drawing>
          <wp:inline distT="0" distB="0" distL="0" distR="0" wp14:anchorId="49407FAC" wp14:editId="49407FAD">
            <wp:extent cx="4762500" cy="3705225"/>
            <wp:effectExtent l="0" t="0" r="0" b="0"/>
            <wp:docPr id="1827324425" name="Picture 182732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705225"/>
                    </a:xfrm>
                    <a:prstGeom prst="rect">
                      <a:avLst/>
                    </a:prstGeom>
                  </pic:spPr>
                </pic:pic>
              </a:graphicData>
            </a:graphic>
          </wp:inline>
        </w:drawing>
      </w:r>
    </w:p>
    <w:p w14:paraId="177AE172" w14:textId="11EA7491" w:rsidR="0091423C" w:rsidRDefault="00B603E3" w:rsidP="00B603E3">
      <w:pPr>
        <w:pStyle w:val="Caption"/>
      </w:pPr>
      <w:fldSimple w:instr=" SEQ Figure \* ARABIC ">
        <w:r w:rsidR="009708F5">
          <w:rPr>
            <w:noProof/>
          </w:rPr>
          <w:t>3</w:t>
        </w:r>
      </w:fldSimple>
      <w:r>
        <w:t>Figure 3. Cost-minimising surveillance strategy as a function of effective reproduction number (Rt) and per-case economic burden (logarithmic scale). Shaded regions indicate which of the four primary strategies minimises total expected societal cost; overlaid points mark each pathogen's base-case position, computed from its own parameter set. The surface's collapsed burden parameter generates no hospitalised cases, so no ICU cost arises on the surface itself, although the pathogen points do carry each pathogen's incremental ICU cost per hospitalised case. Construction and the burden-to-CFR mapping are given with Supplementary Figure S1.</w:t>
      </w:r>
    </w:p>
    <w:p w14:paraId="49407F01" w14:textId="77777777" w:rsidR="003E3489" w:rsidRDefault="00405CD3">
      <w:pPr>
        <w:pStyle w:val="Heading2"/>
        <w:keepNext/>
        <w:keepLines/>
        <w:spacing w:before="240" w:after="120"/>
      </w:pPr>
      <w:r>
        <w:t>3.2 Epidemiological consequences of surveillance strategy</w:t>
      </w:r>
    </w:p>
    <w:p w14:paraId="49407F02" w14:textId="77777777" w:rsidR="003E3489" w:rsidRDefault="00405CD3">
      <w:pPr>
        <w:spacing w:after="160"/>
        <w:jc w:val="both"/>
      </w:pPr>
      <w:r>
        <w:rPr>
          <w:sz w:val="24"/>
          <w:szCs w:val="24"/>
        </w:rPr>
        <w:t>Under the cost-minimising strategy at baseline prevalence, modelled cumulative infections over the 365-day horizon ranged from 174 (diphtheria) to 795,589 (norovirus, reflecting its high transmissibility, short infectious period, and comparatively high baseline arrival prevalence). Modelled deaths ranged from 2.5 (influenza A/B) to 96.7 (Ebola virus disease). These figures are outputs of the coupled transmission-screening model under stated assumptions, not independent epidemiological forecasts; they depend on the countermeasure and prevalence assumptions in Sections 2.5 and 2.9. Their sensitivity to horizon length is discussed in Section 4.5.</w:t>
      </w:r>
    </w:p>
    <w:p w14:paraId="49407F03" w14:textId="77777777" w:rsidR="003E3489" w:rsidRDefault="00405CD3">
      <w:pPr>
        <w:pStyle w:val="Heading2"/>
        <w:keepNext/>
        <w:keepLines/>
        <w:spacing w:before="240" w:after="120"/>
      </w:pPr>
      <w:r>
        <w:t>3.3 Economic comparison of surveillance strategies: diagnostic performance versus operational cost</w:t>
      </w:r>
    </w:p>
    <w:p w14:paraId="49407F04" w14:textId="77777777" w:rsidR="003E3489" w:rsidRDefault="00405CD3">
      <w:pPr>
        <w:spacing w:after="160"/>
        <w:jc w:val="both"/>
      </w:pPr>
      <w:r>
        <w:rPr>
          <w:sz w:val="24"/>
          <w:szCs w:val="24"/>
        </w:rPr>
        <w:t xml:space="preserve">When laboratory PCR and high-throughput molecular testing were assigned identical sensitivity and specificity (Section 2.7), true positives, false positives, missed importations, cumulative infections, hospitalisations, and deaths were numerically identical between the two strategies for every pathogen tested, confirmed to machine precision. The resulting cost difference was USD 288,333,328 over the 365-day horizon at the modelled base-case arrival volume (10,000 </w:t>
      </w:r>
      <w:commentRangeStart w:id="4"/>
      <w:r>
        <w:rPr>
          <w:sz w:val="24"/>
          <w:szCs w:val="24"/>
        </w:rPr>
        <w:t>passe</w:t>
      </w:r>
      <w:commentRangeEnd w:id="4"/>
      <w:r w:rsidR="009F182D">
        <w:rPr>
          <w:rStyle w:val="CommentReference"/>
          <w:sz w:val="24"/>
          <w:szCs w:val="24"/>
        </w:rPr>
        <w:commentReference w:id="4"/>
      </w:r>
      <w:r>
        <w:rPr>
          <w:sz w:val="24"/>
          <w:szCs w:val="24"/>
        </w:rPr>
        <w:t>ngers/day), for every one of the six primary pathogens. This figure matched the closed-form analytic prediction n</w:t>
      </w:r>
      <w:r>
        <w:rPr>
          <w:sz w:val="24"/>
          <w:szCs w:val="24"/>
          <w:vertAlign w:val="subscript"/>
        </w:rPr>
        <w:t>test</w:t>
      </w:r>
      <w:r>
        <w:rPr>
          <w:sz w:val="24"/>
          <w:szCs w:val="24"/>
        </w:rPr>
        <w:t xml:space="preserve"> × (c</w:t>
      </w:r>
      <w:r>
        <w:rPr>
          <w:sz w:val="24"/>
          <w:szCs w:val="24"/>
          <w:vertAlign w:val="subscript"/>
        </w:rPr>
        <w:t>PCR</w:t>
      </w:r>
      <w:r>
        <w:rPr>
          <w:sz w:val="24"/>
          <w:szCs w:val="24"/>
        </w:rPr>
        <w:t xml:space="preserve"> − c</w:t>
      </w:r>
      <w:r>
        <w:rPr>
          <w:sz w:val="24"/>
          <w:szCs w:val="24"/>
          <w:vertAlign w:val="subscript"/>
        </w:rPr>
        <w:t>molecular</w:t>
      </w:r>
      <w:r>
        <w:rPr>
          <w:sz w:val="24"/>
          <w:szCs w:val="24"/>
        </w:rPr>
        <w:t>), discounted exactly, confirming it is attributable entirely to the per-test cost difference between the two strategies (PCR USD 50–150 versus high-throughput molecular USD 10–30).</w:t>
      </w:r>
    </w:p>
    <w:p w14:paraId="49407F05" w14:textId="77777777" w:rsidR="003E3489" w:rsidRDefault="00405CD3">
      <w:pPr>
        <w:spacing w:after="160"/>
        <w:jc w:val="both"/>
      </w:pPr>
      <w:r>
        <w:rPr>
          <w:sz w:val="24"/>
          <w:szCs w:val="24"/>
        </w:rPr>
        <w:t>Because test throughput is not enforced as a capacity constraint in the cost model (Section 2.3), the reported cost difference reflects per-test cost alone and should not be read as reflecting a throughput or turnaround-time advantage. A feasibility check indicates that PCR's stated throughput ceiling (50–150 passengers/hour) would require 3.7–11.1 parallel testing units to sustain the required rate over an 18-hour operating window at the base-case arrival volume. The capital and staffing cost of that parallel capacity is not priced for either strategy. If throughput constraints were incorporated, the reported cost difference would be expected to widen rather than narrow.</w:t>
      </w:r>
    </w:p>
    <w:p w14:paraId="49407F06" w14:textId="77777777" w:rsidR="003E3489" w:rsidRDefault="00405CD3">
      <w:pPr>
        <w:pStyle w:val="Heading3"/>
        <w:keepNext/>
        <w:keepLines/>
        <w:spacing w:before="240" w:after="120"/>
      </w:pPr>
      <w:r>
        <w:t>3.3.1 Robustness to an unpriced cost: false-positive follow-up</w:t>
      </w:r>
    </w:p>
    <w:p w14:paraId="49407F07" w14:textId="77777777" w:rsidR="003E3489" w:rsidRDefault="00405CD3">
      <w:pPr>
        <w:spacing w:after="160"/>
        <w:jc w:val="both"/>
      </w:pPr>
      <w:r>
        <w:rPr>
          <w:sz w:val="24"/>
          <w:szCs w:val="24"/>
        </w:rPr>
        <w:t>False-positive follow-up costs are not priced in the current cost function (Section 2.6.1). Their materiality was assessed through a post-hoc threshold analysis, using the deterministic strategy costs and false-positive counts of Section 3.1 (Supplementary Material). For each pathogen × prevalence-scenario combination, the incremental cost per false positive was calculated at which the currently cost-minimising strategy would change if that cost were added uniformly to every strategy's reported false-positive count.</w:t>
      </w:r>
    </w:p>
    <w:p w14:paraId="49407F08" w14:textId="38B1BFFF" w:rsidR="003E3489" w:rsidRDefault="00405CD3">
      <w:pPr>
        <w:spacing w:after="160"/>
        <w:jc w:val="both"/>
      </w:pPr>
      <w:r>
        <w:rPr>
          <w:sz w:val="24"/>
          <w:szCs w:val="24"/>
        </w:rPr>
        <w:t>Across the eighteen pathogen × prevalence-scenario combinations at the 365-day horizon, the binding threshold</w:t>
      </w:r>
      <w:r w:rsidR="008E5BD3">
        <w:rPr>
          <w:sz w:val="24"/>
          <w:szCs w:val="24"/>
        </w:rPr>
        <w:t>,</w:t>
      </w:r>
      <w:r>
        <w:rPr>
          <w:sz w:val="24"/>
          <w:szCs w:val="24"/>
        </w:rPr>
        <w:t xml:space="preserve"> the lowest across the three comparison strategies in each combination</w:t>
      </w:r>
      <w:r w:rsidR="008E5BD3">
        <w:rPr>
          <w:sz w:val="24"/>
          <w:szCs w:val="24"/>
        </w:rPr>
        <w:t>,</w:t>
      </w:r>
      <w:r>
        <w:rPr>
          <w:sz w:val="24"/>
          <w:szCs w:val="24"/>
        </w:rPr>
        <w:t xml:space="preserve"> ranged from approximately USD 564 per false positive (influenza A/B, 0.5× prevalence) to approximately USD 182,844 per false positive (Ebola virus disease, 2× prevalence). The influenza A/B low-</w:t>
      </w:r>
      <w:r>
        <w:rPr>
          <w:sz w:val="24"/>
          <w:szCs w:val="24"/>
        </w:rPr>
        <w:lastRenderedPageBreak/>
        <w:t>prevalence scenario is the single combination closest to a false-positive cost threshold; no published, directly applicable estimate of the full bundled cost of false-positive follow-up in this setting has been identified. The remaining seventeen combinations require thresholds at least an order of magnitude higher.</w:t>
      </w:r>
    </w:p>
    <w:p w14:paraId="49407F09" w14:textId="77777777" w:rsidR="003E3489" w:rsidRDefault="00405CD3">
      <w:pPr>
        <w:spacing w:after="160"/>
        <w:jc w:val="both"/>
      </w:pPr>
      <w:r>
        <w:rPr>
          <w:sz w:val="24"/>
          <w:szCs w:val="24"/>
        </w:rPr>
        <w:t>Because laboratory PCR and high-throughput molecular testing are assigned identical specificity under the symmetric-performance assumption, their false-positive counts are identical in every pathogen and prevalence scenario. Any false-positive cost applied uniformly would therefore add an identical amount to each, leaving their cost difference unchanged. This invariance follows directly from the symmetric-performance assumption and would not hold if the two modalities were assigned different specificity values.</w:t>
      </w:r>
    </w:p>
    <w:p w14:paraId="49407F0A" w14:textId="77777777" w:rsidR="003E3489" w:rsidRDefault="00405CD3">
      <w:pPr>
        <w:pStyle w:val="Heading2"/>
        <w:keepNext/>
        <w:keepLines/>
        <w:spacing w:before="240" w:after="120"/>
      </w:pPr>
      <w:r>
        <w:t>3.4 Effect of traveller prevalence</w:t>
      </w:r>
    </w:p>
    <w:p w14:paraId="49407F0B" w14:textId="77777777" w:rsidR="003E3489" w:rsidRDefault="00405CD3">
      <w:pPr>
        <w:spacing w:after="160"/>
        <w:jc w:val="both"/>
      </w:pPr>
      <w:r>
        <w:rPr>
          <w:sz w:val="24"/>
          <w:szCs w:val="24"/>
        </w:rPr>
        <w:t>Doubling arrival prevalence from 0.5x to 2.0x baseline increased total societal cost under the cost-minimising strategy by a factor of approximately 1.2-3.1 depending on pathogen (Table 3), consistent with the expectation that cost of inaction scales with the volume of missed infectious arrivals. No pathogen produced a strategy switch across the prevalence grid: high-throughput molecular testing was cost-minimising at 0.5x, 1.0x, and 2.0x baseline prevalence for all six primary pathogens. Diphtheria favours high-throughput molecular screening across the full tested prevalence range, with no strategy switch within this range.</w:t>
      </w:r>
    </w:p>
    <w:p w14:paraId="49407F0C" w14:textId="77777777" w:rsidR="003E3489" w:rsidRDefault="00405CD3">
      <w:pPr>
        <w:pStyle w:val="Heading2"/>
        <w:keepNext/>
        <w:keepLines/>
        <w:spacing w:before="240" w:after="120"/>
      </w:pPr>
      <w:r>
        <w:t>3.5 Effect of value of a statistical life and disease burden</w:t>
      </w:r>
    </w:p>
    <w:p w14:paraId="49407F0D" w14:textId="77777777" w:rsidR="003E3489" w:rsidRDefault="00405CD3">
      <w:pPr>
        <w:spacing w:after="160"/>
        <w:jc w:val="both"/>
      </w:pPr>
      <w:r>
        <w:rPr>
          <w:sz w:val="24"/>
          <w:szCs w:val="24"/>
        </w:rPr>
        <w:t>Across the four VSL anchors (USD 300,000 and 1,000,000, lower sensitivity-analysis anchors; 3,500,000, the pre-specified structural base-case assumption; and 11,600,000, an upper sensitivity-analysis anchor), the cost-minimising strategy was stable for four of six primary pathogens (SARS-CoV-2, mpox, norovirus, Ebola virus disease). Influenza A/B shifted away from high-throughput molecular testing only at the lowest (USD 300,000) anchor, to no systematic screening, indicating sensitivity to a VSL assumption substantially below the base case (USD 3,500,000) rather than to the base case itself. Diphtheria deviates from a molecular-screening recommendation only at the single lowest (USD 300,000) anchor, to no systematic screening, and is stable at the USD 1,000,000, USD 3,500,000 (base case), and USD 11,600,000 anchors. This sensitivity analysis is designed to test whether the strategy conclusions are robust to substantially different mortality valuations, not to validate the VSL anchors themselves as externally correct estimates; the results above should be read as characterising that robustness rather than as evidence supporting any particular anchor's accuracy.</w:t>
      </w:r>
    </w:p>
    <w:p w14:paraId="49407F0E" w14:textId="77777777" w:rsidR="003E3489" w:rsidRDefault="00405CD3">
      <w:pPr>
        <w:pStyle w:val="Heading2"/>
        <w:keepNext/>
        <w:keepLines/>
        <w:spacing w:before="240" w:after="120"/>
      </w:pPr>
      <w:r>
        <w:t>3.6 Countermeasure sensitivity</w:t>
      </w:r>
    </w:p>
    <w:p w14:paraId="49407F0F" w14:textId="77777777" w:rsidR="003E3489" w:rsidRDefault="00405CD3">
      <w:pPr>
        <w:spacing w:after="160"/>
        <w:jc w:val="both"/>
      </w:pPr>
      <w:r>
        <w:rPr>
          <w:sz w:val="24"/>
          <w:szCs w:val="24"/>
        </w:rPr>
        <w:t>Across the full 36-combination sweep of countermeasure trigger timing, reduction strength, and ramp duration, the cost-minimising strategy was stable for four of six primary pathogens (SARS-CoV-2, influenza A/B, mpox, Ebola virus disease). Norovirus and diphtheria, both comparatively low-absolute-cost pathogens in which the balance between screening cost and downstream health burden is close, showed strategy changes within the tested range. Recommendations for these two pathogens should accordingly be treated as more sensitive to local assumptions about the speed and strength of domestic outbreak response than the other four. An explicit no-countermeasure comparator (apply</w:t>
      </w:r>
      <w:r>
        <w:rPr>
          <w:sz w:val="24"/>
          <w:szCs w:val="24"/>
          <w:vertAlign w:val="subscript"/>
        </w:rPr>
        <w:t>countermeasures</w:t>
      </w:r>
      <w:r>
        <w:rPr>
          <w:sz w:val="24"/>
          <w:szCs w:val="24"/>
        </w:rPr>
        <w:t xml:space="preserve">=False, i.e. Rt held at its pathogen baseline for the full horizon; Supplementary Material) was additionally evaluated for </w:t>
      </w:r>
      <w:r>
        <w:rPr>
          <w:sz w:val="24"/>
          <w:szCs w:val="24"/>
        </w:rPr>
        <w:lastRenderedPageBreak/>
        <w:t>all six primary pathogens at the 365-day horizon: high-throughput molecular screening remained cost-minimising with no countermeasure at all for five of six pathogens (SARS-CoV-2, influenza A/B, mpox, Ebola virus disease, diphtheria), but no systematic screening became cost-minimising for norovirus in the complete absence of a countermeasure, because over a full year of unmitigated Rt &gt; 1 transmission, domestic spread dominates total infections regardless of screening effort, making screening's marginal benefit too small to justify its cost for this fast-dynamics pathogen specifically.</w:t>
      </w:r>
    </w:p>
    <w:p w14:paraId="49407F10" w14:textId="77777777" w:rsidR="003E3489" w:rsidRDefault="00405CD3">
      <w:pPr>
        <w:pStyle w:val="Heading2"/>
        <w:keepNext/>
        <w:keepLines/>
        <w:spacing w:before="240" w:after="120"/>
      </w:pPr>
      <w:r>
        <w:t>3.7 Probabilistic sensitivity analysis</w:t>
      </w:r>
    </w:p>
    <w:p w14:paraId="49407F11" w14:textId="6250A3DE" w:rsidR="003E3489" w:rsidRDefault="00405CD3">
      <w:pPr>
        <w:spacing w:after="160"/>
        <w:jc w:val="both"/>
      </w:pPr>
      <w:r>
        <w:rPr>
          <w:sz w:val="24"/>
          <w:szCs w:val="24"/>
        </w:rPr>
        <w:t>Under PSA (10,000 iterations per pathogen, with per-test cost uncertainty propagated) at the 365-day horizon, the probability that high-throughput molecular testing was cost-minimising was: SARS-CoV-2, 97.2%; influenza A/B, 93.3%; mpox, 97.2%; norovirus, 71.7%; Ebola virus disease, 86.8%; diphtheria, 81.2% (Figure 4). Molecular testing remained the most probable cost-minimising strategy for every primary pathogen. Norovirus was the lowest-confidence primary pathogen (71.7%), consistent with the closer deterministic decision margin identified in the sensitivity analyses. Diphtheria (81.2%) and Ebola virus disease (86.8%) also showed lower confidence, consistent with the closer decision margins identified independently by the VSL and countermeasure sensitivity analyses (Sections 3.5–3.6). Diphtheria's figure carries the additional caveat that its ICU inputs are unresolved, so its costs omit an ICU term (Section 2.6). Parameter decomposition by point-biserial correlation was run for four of the six primary pathogens. In the three least decisive of those</w:t>
      </w:r>
      <w:r w:rsidR="008E5BD3">
        <w:rPr>
          <w:sz w:val="24"/>
          <w:szCs w:val="24"/>
        </w:rPr>
        <w:t>,</w:t>
      </w:r>
      <w:r>
        <w:rPr>
          <w:sz w:val="24"/>
          <w:szCs w:val="24"/>
        </w:rPr>
        <w:t xml:space="preserve"> influenza A/B, norovirus and diphtheria</w:t>
      </w:r>
      <w:r w:rsidR="008E5BD3">
        <w:rPr>
          <w:sz w:val="24"/>
          <w:szCs w:val="24"/>
        </w:rPr>
        <w:t xml:space="preserve">, </w:t>
      </w:r>
      <w:r>
        <w:rPr>
          <w:sz w:val="24"/>
          <w:szCs w:val="24"/>
        </w:rPr>
        <w:t>the sampled per-test cost of high-throughput molecular screening was the strongest single correlate of strategy selection (r = −0.24, −0.23 and −0.17 respectively), ahead of the value of a statistical life; in mpox, the most decisive, the leading correlate was molecular test sensitivity (r = +0.27) (Supplementary Material).</w:t>
      </w:r>
    </w:p>
    <w:p w14:paraId="49407F12" w14:textId="77777777" w:rsidR="003E3489" w:rsidRDefault="00405CD3">
      <w:pPr>
        <w:spacing w:after="160"/>
        <w:jc w:val="both"/>
      </w:pPr>
      <w:r>
        <w:rPr>
          <w:sz w:val="24"/>
          <w:szCs w:val="24"/>
        </w:rPr>
        <w:t>Convergence was assessed at 1,000, 5,000 and 10,000 iterations under the same calculation as the headline results, for the two pre-specified representative primary pathogens (influenza A/B and diphtheria), for the measles stress-test scenario, and post hoc for the most and least decisive primary pathogens: influenza A/B, 93.1%, 93.4%, 93.3%; diphtheria, 80.4%, 81.0%, 81.2%; measles, 73.5%, 72.9%, 72.9%; mpox, 97.0%, 97.6%, 97.2%; norovirus, 73.2%, 71.9%, 71.7%. All five were stable within Monte Carlo noise with no directional drift, the 5,000-to-10,000 change being at most 0.3 percentage points (Extended Methods S-PSA). Measles is reported as a stress-test convergence result only, consistent with its exclusion from the six-primary-pathogen PSA scope.</w:t>
      </w:r>
    </w:p>
    <w:p w14:paraId="6EE4ABEE" w14:textId="77777777" w:rsidR="00B603E3" w:rsidRDefault="00405CD3" w:rsidP="00B603E3">
      <w:pPr>
        <w:keepNext/>
        <w:keepLines/>
        <w:spacing w:before="160" w:after="80"/>
        <w:jc w:val="center"/>
      </w:pPr>
      <w:r>
        <w:rPr>
          <w:noProof/>
          <w:sz w:val="24"/>
        </w:rPr>
        <w:lastRenderedPageBreak/>
        <w:drawing>
          <wp:inline distT="0" distB="0" distL="0" distR="0" wp14:anchorId="49407FAE" wp14:editId="49407FAF">
            <wp:extent cx="4762500" cy="3456030"/>
            <wp:effectExtent l="0" t="0" r="0" b="0"/>
            <wp:docPr id="798085459" name="Picture 79808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456030"/>
                    </a:xfrm>
                    <a:prstGeom prst="rect">
                      <a:avLst/>
                    </a:prstGeom>
                  </pic:spPr>
                </pic:pic>
              </a:graphicData>
            </a:graphic>
          </wp:inline>
        </w:drawing>
      </w:r>
    </w:p>
    <w:p w14:paraId="5C7EA7E0" w14:textId="0965B1FA" w:rsidR="0001537A" w:rsidRDefault="00B603E3" w:rsidP="00B603E3">
      <w:pPr>
        <w:pStyle w:val="Caption"/>
      </w:pPr>
      <w:fldSimple w:instr=" SEQ Figure \* ARABIC ">
        <w:r w:rsidR="009708F5">
          <w:rPr>
            <w:noProof/>
          </w:rPr>
          <w:t>4</w:t>
        </w:r>
      </w:fldSimple>
      <w:r>
        <w:t>Figure 4. Probability that high-throughput molecular testing was the cost-minimising strategy under probabilistic sensitivity analysis (10,000 iterations per pathogen, per-test cost uncertainty propagated; Section 2.11), at the 365-day analysis horizon. Bars are shaded by confidence band (deeper blue ≥95%, amber 85–94%, orange &lt;85%) with a 50% reference line. No incremental ICU cost is applied to diphtheria, for which ICU inputs are unresolved.</w:t>
      </w:r>
    </w:p>
    <w:p w14:paraId="49407F15" w14:textId="77777777" w:rsidR="003E3489" w:rsidRDefault="00405CD3">
      <w:pPr>
        <w:pStyle w:val="Heading2"/>
        <w:keepNext/>
        <w:keepLines/>
        <w:spacing w:before="240" w:after="120"/>
      </w:pPr>
      <w:r>
        <w:t>3.8 Measles stress test and model boundary</w:t>
      </w:r>
    </w:p>
    <w:p w14:paraId="49407F16" w14:textId="77777777" w:rsidR="003E3489" w:rsidRDefault="00405CD3">
      <w:pPr>
        <w:spacing w:after="160"/>
        <w:jc w:val="both"/>
      </w:pPr>
      <w:r>
        <w:rPr>
          <w:sz w:val="24"/>
        </w:rPr>
        <w:t>Measles was evaluated using the same model structure as the six primary pathogens. With its baseline effective reproduction number (midpoint 5, cited range 2–8) and the model's population-wide, delayed countermeasure-response structure (Section 2.5), pre-response transmission compounds approximately 11,300-fold over the 21-day base-case response delay, before any intervention can act.</w:t>
      </w:r>
    </w:p>
    <w:p w14:paraId="49407F17" w14:textId="4E40422A" w:rsidR="003E3489" w:rsidRDefault="00405CD3">
      <w:pPr>
        <w:spacing w:after="160"/>
        <w:jc w:val="both"/>
      </w:pPr>
      <w:r>
        <w:rPr>
          <w:sz w:val="24"/>
        </w:rPr>
        <w:t>No tested post-response suppression strength recovered an epidemiologically plausible outbreak size once this delay had elapsed. Across the 60–99% suppression range, cumulative infections at 365 days spanned 25.7% to 95.6% of the 10-million downstream catchment population depending on screening strategy and suppression strength, with an estimated 12,000–13,600 deaths at the base-case 60% reduction. The 95% and 99% levels produce identical dynamics because both fall below the model's Rt floor of 0.30, leaving sub-replacement domestic transmission while ongoing daily importation continues to add infections throughout the horizon. The implausibility is therefore not confined to the highest suppression levels; the full sweep is in Extended Methods S-Measles (Table S18).</w:t>
      </w:r>
    </w:p>
    <w:p w14:paraId="49407F18" w14:textId="77777777" w:rsidR="003E3489" w:rsidRDefault="00405CD3">
      <w:pPr>
        <w:spacing w:after="160"/>
        <w:jc w:val="both"/>
      </w:pPr>
      <w:r>
        <w:rPr>
          <w:sz w:val="24"/>
        </w:rPr>
        <w:t>Under PSA, the apparent probability that molecular testing was cost-minimising for measles (72.9%) was driven predominantly by which of laboratory PCR or high-throughput molecular testing drew a marginally higher sensitivity value in a given iteration, not by any economic mechanism: the screening-cost differential between them is negligible relative to measles' modelled domestic health burden. Measles was therefore retained as a model-boundary stress test; none of the measles-specific cost or probability figures reported here should be interpreted as a surveillance-strategy recommendation.</w:t>
      </w:r>
    </w:p>
    <w:p w14:paraId="49407F19" w14:textId="77777777" w:rsidR="003E3489" w:rsidRDefault="00405CD3">
      <w:pPr>
        <w:pStyle w:val="Heading2"/>
        <w:keepNext/>
        <w:keepLines/>
        <w:spacing w:before="240" w:after="120"/>
      </w:pPr>
      <w:r>
        <w:t>3.9 WBE exploratory threshold analysis</w:t>
      </w:r>
    </w:p>
    <w:p w14:paraId="49407F1A" w14:textId="491E775A" w:rsidR="003E3489" w:rsidRDefault="00405CD3">
      <w:pPr>
        <w:spacing w:after="160"/>
        <w:jc w:val="both"/>
      </w:pPr>
      <w:r>
        <w:rPr>
          <w:sz w:val="24"/>
          <w:szCs w:val="24"/>
        </w:rPr>
        <w:t>A deterministic sweep of the WBE gate's exploratory parameters (Section 2.7.1) was conducted across the four WBE-applicable pathogens, three prevalence scenarios, three follow-up modalities and the swept false-positive-rate and coverage scenarios, at the 365-day horizon. Across this space, WBE-gated screening was more expensive than universal screening using the same follow-up modality at every sampling cost tested in the large majority of combinations. Favourable regions</w:t>
      </w:r>
      <w:r w:rsidR="008E5BD3">
        <w:rPr>
          <w:sz w:val="24"/>
          <w:szCs w:val="24"/>
        </w:rPr>
        <w:t xml:space="preserve">, </w:t>
      </w:r>
      <w:r>
        <w:rPr>
          <w:sz w:val="24"/>
          <w:szCs w:val="24"/>
        </w:rPr>
        <w:t>combinations of q and sampling cost at which WBE-gating became less expensive</w:t>
      </w:r>
      <w:r w:rsidR="008E5BD3">
        <w:rPr>
          <w:sz w:val="24"/>
          <w:szCs w:val="24"/>
        </w:rPr>
        <w:t>,</w:t>
      </w:r>
      <w:r>
        <w:rPr>
          <w:sz w:val="24"/>
          <w:szCs w:val="24"/>
        </w:rPr>
        <w:t xml:space="preserve"> appeared at all three follow-up coverage levels, but for SARS-CoV-2, mpox and Ebola virus disease only at complete coverage. For norovirus with laboratory PCR follow-up, favourable combinations existed across all q values tested (0.05–0.95) at coverage 0.50 and 0.75 as well as 1.00, reflecting the large testing-cost differential between universal laboratory PCR and a WBE-gated programme that substantially reduces test volume even at partial coverage; norovirus with RAT follow-up was additionally favourable at coverage 0.75 for q ≥ 0.70. Expressed as the fraction of the 144 pathogen/prevalence-scenario/false-positive-rate/coverage combinations favouring WBE-gating (Table 4), the maximum favourable fraction reached was 13.89% for RAT follow-up (nonzero for q &gt;= 0.30), 41.67% for laboratory PCR follow-up (nonzero across the full swept range, q &gt;= 0.05), and 11.11% for high-throughput molecular (Sentinel RT-LAMP) follow-up (nonzero only for q &gt;= 0.80). Because laboratory PCR and Sentinel RT-LAMP are assigned identical sensitivity and specificity in this model, the difference between their WBE-gated panels reflects programme economics: Sentinel RT-LAMP's substantially lower per-test cost leaves proportionally less room for the WBE gate's testing-volume-reduction mechanism to generate savings -- and should not be read as evidence that PCR follow-up detects infections more effectively than Sentinel RT-LAMP follow-up; the two remain epidemiologically identical by construction. Detailed pathogen-by-pathogen and stratum-by-stratum breakdowns underlying this analysis are reported in Supplementary Material.</w:t>
      </w:r>
    </w:p>
    <w:p w14:paraId="49407F1B" w14:textId="34FC5750" w:rsidR="003E3489" w:rsidRDefault="009708F5" w:rsidP="009708F5">
      <w:pPr>
        <w:pStyle w:val="Caption"/>
      </w:pPr>
      <w:fldSimple w:instr=" SEQ Figure \* ARABIC ">
        <w:r>
          <w:rPr>
            <w:noProof/>
          </w:rPr>
          <w:t>5</w:t>
        </w:r>
      </w:fldSimple>
      <w:r>
        <w:t>Table 4. Conditions under which WBE-gated screening was less expensive than universal screening using the same follow-up modality, at the 365-day horizon.</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8"/>
              </w:rPr>
              <w:t>Follow-up modality</w:t>
            </w:r>
          </w:p>
        </w:tc>
        <w:tc>
          <w:tcPr>
            <w:tcW w:type="dxa" w:w="2340"/>
          </w:tcPr>
          <w:p>
            <w:r/>
            <w:r>
              <w:rPr>
                <w:b/>
                <w:sz w:val="18"/>
              </w:rPr>
              <w:t>Per-test cost (USD)</w:t>
            </w:r>
          </w:p>
        </w:tc>
        <w:tc>
          <w:tcPr>
            <w:tcW w:type="dxa" w:w="2340"/>
          </w:tcPr>
          <w:p>
            <w:r/>
            <w:r>
              <w:rPr>
                <w:b/>
                <w:sz w:val="18"/>
              </w:rPr>
              <w:t>First favourable at</w:t>
            </w:r>
          </w:p>
        </w:tc>
        <w:tc>
          <w:tcPr>
            <w:tcW w:type="dxa" w:w="2340"/>
          </w:tcPr>
          <w:p>
            <w:r/>
            <w:r>
              <w:rPr>
                <w:b/>
                <w:sz w:val="18"/>
              </w:rPr>
              <w:t>Maximum favourable fraction</w:t>
            </w:r>
          </w:p>
        </w:tc>
      </w:tr>
      <w:tr>
        <w:tc>
          <w:tcPr>
            <w:tcW w:type="dxa" w:w="2340"/>
          </w:tcPr>
          <w:p>
            <w:r/>
            <w:r>
              <w:rPr>
                <w:sz w:val="18"/>
              </w:rPr>
              <w:t>Laboratory PCR</w:t>
            </w:r>
          </w:p>
        </w:tc>
        <w:tc>
          <w:tcPr>
            <w:tcW w:type="dxa" w:w="2340"/>
          </w:tcPr>
          <w:p>
            <w:r/>
            <w:r>
              <w:rPr>
                <w:sz w:val="18"/>
              </w:rPr>
              <w:t>50–150</w:t>
            </w:r>
          </w:p>
        </w:tc>
        <w:tc>
          <w:tcPr>
            <w:tcW w:type="dxa" w:w="2340"/>
          </w:tcPr>
          <w:p>
            <w:r/>
            <w:r>
              <w:rPr>
                <w:sz w:val="18"/>
              </w:rPr>
              <w:t>q ≥ 0.05</w:t>
            </w:r>
          </w:p>
        </w:tc>
        <w:tc>
          <w:tcPr>
            <w:tcW w:type="dxa" w:w="2340"/>
          </w:tcPr>
          <w:p>
            <w:r/>
            <w:r>
              <w:rPr>
                <w:sz w:val="18"/>
              </w:rPr>
              <w:t>41.67%</w:t>
            </w:r>
          </w:p>
        </w:tc>
      </w:tr>
      <w:tr>
        <w:tc>
          <w:tcPr>
            <w:tcW w:type="dxa" w:w="2340"/>
          </w:tcPr>
          <w:p>
            <w:r/>
            <w:r>
              <w:rPr>
                <w:sz w:val="18"/>
              </w:rPr>
              <w:t>Rapid antigen (RAT)</w:t>
            </w:r>
          </w:p>
        </w:tc>
        <w:tc>
          <w:tcPr>
            <w:tcW w:type="dxa" w:w="2340"/>
          </w:tcPr>
          <w:p>
            <w:r/>
            <w:r>
              <w:rPr>
                <w:sz w:val="18"/>
              </w:rPr>
              <w:t>5–20</w:t>
            </w:r>
          </w:p>
        </w:tc>
        <w:tc>
          <w:tcPr>
            <w:tcW w:type="dxa" w:w="2340"/>
          </w:tcPr>
          <w:p>
            <w:r/>
            <w:r>
              <w:rPr>
                <w:sz w:val="18"/>
              </w:rPr>
              <w:t>q ≥ 0.30</w:t>
            </w:r>
          </w:p>
        </w:tc>
        <w:tc>
          <w:tcPr>
            <w:tcW w:type="dxa" w:w="2340"/>
          </w:tcPr>
          <w:p>
            <w:r/>
            <w:r>
              <w:rPr>
                <w:sz w:val="18"/>
              </w:rPr>
              <w:t>13.89%</w:t>
            </w:r>
          </w:p>
        </w:tc>
      </w:tr>
      <w:tr>
        <w:tc>
          <w:tcPr>
            <w:tcW w:type="dxa" w:w="2340"/>
          </w:tcPr>
          <w:p>
            <w:r/>
            <w:r>
              <w:rPr>
                <w:sz w:val="18"/>
              </w:rPr>
              <w:t>Sentinel RT-LAMP</w:t>
            </w:r>
          </w:p>
        </w:tc>
        <w:tc>
          <w:tcPr>
            <w:tcW w:type="dxa" w:w="2340"/>
          </w:tcPr>
          <w:p>
            <w:r/>
            <w:r>
              <w:rPr>
                <w:sz w:val="18"/>
              </w:rPr>
              <w:t>10–30</w:t>
            </w:r>
          </w:p>
        </w:tc>
        <w:tc>
          <w:tcPr>
            <w:tcW w:type="dxa" w:w="2340"/>
          </w:tcPr>
          <w:p>
            <w:r/>
            <w:r>
              <w:rPr>
                <w:sz w:val="18"/>
              </w:rPr>
              <w:t>q ≥ 0.80</w:t>
            </w:r>
          </w:p>
        </w:tc>
        <w:tc>
          <w:tcPr>
            <w:tcW w:type="dxa" w:w="2340"/>
          </w:tcPr>
          <w:p>
            <w:r/>
            <w:r>
              <w:rPr>
                <w:sz w:val="18"/>
              </w:rPr>
              <w:t>11.11%</w:t>
            </w:r>
          </w:p>
        </w:tc>
      </w:tr>
    </w:tbl>
    <w:p w14:paraId="49407F1B" w14:textId="34FC5750" w:rsidR="003E3489" w:rsidRDefault="009708F5" w:rsidP="009708F5">
      <w:pPr>
        <w:pStyle w:val="Caption"/>
      </w:pPr>
      <w:fldSimple w:instr=" SEQ Figure \* ARABIC ">
        <w:r>
          <w:rPr>
            <w:noProof/>
          </w:rPr>
          <w:t>5</w:t>
        </w:r>
      </w:fldSimple>
      <w:r>
        <w:t>Notes. The favourable fraction is the proportion of the 144 explored parameter combinations meeting that condition (Section 2.7.1); q is the aircraft-level WBE detection probability. Sampling cost, swept from USD 10 to 150 per aircraft, moved the fraction by at most 7.6 percentage points, so detection probability governs the result. Rapid antigen testing differs from the other two modalities in sensitivity as well as cost. No parameter value explored is empirically validated.</w:t>
      </w:r>
    </w:p>
    <w:p w14:paraId="49407F1D" w14:textId="615DB666" w:rsidR="003E3489" w:rsidRDefault="00405CD3">
      <w:pPr>
        <w:spacing w:after="160"/>
        <w:jc w:val="both"/>
      </w:pPr>
      <w:r>
        <w:rPr>
          <w:sz w:val="24"/>
          <w:szCs w:val="24"/>
        </w:rPr>
        <w:t>An idealised limiting case</w:t>
      </w:r>
      <w:r w:rsidR="008E5BD3">
        <w:rPr>
          <w:sz w:val="24"/>
          <w:szCs w:val="24"/>
        </w:rPr>
        <w:t>,</w:t>
      </w:r>
      <w:r>
        <w:rPr>
          <w:sz w:val="24"/>
          <w:szCs w:val="24"/>
        </w:rPr>
        <w:t xml:space="preserve"> certain detection of every infected flight, no false positives, complete follow-up coverage and zero sampling cost, a mathematical boundary condition rather than an operationally realistic scenario</w:t>
      </w:r>
      <w:r w:rsidR="008E5BD3">
        <w:rPr>
          <w:sz w:val="24"/>
          <w:szCs w:val="24"/>
        </w:rPr>
        <w:t>,</w:t>
      </w:r>
      <w:r>
        <w:rPr>
          <w:sz w:val="24"/>
          <w:szCs w:val="24"/>
        </w:rPr>
        <w:t xml:space="preserve"> isolates the mechanism. At this limit the WBE-gated pathway faces exactly the same infected-passenger denominator as universal screening, and missed infections, cumulative infections, deaths and downstream health costs are exactly equal for all three follow-up modalities (verified numerically; Extended Methods S-WBE). Only programme cost differs: gating tests a smaller passenger volume at the same per-test cost</w:t>
      </w:r>
      <w:r w:rsidR="008E5BD3">
        <w:rPr>
          <w:sz w:val="24"/>
          <w:szCs w:val="24"/>
        </w:rPr>
        <w:t xml:space="preserve">, </w:t>
      </w:r>
      <w:r>
        <w:rPr>
          <w:sz w:val="24"/>
          <w:szCs w:val="24"/>
        </w:rPr>
        <w:t>approximately one-fifth smaller in the illustrative pathogen and prevalence scenario examined. The gate's economic value proposition is therefore a testing-volume reduction rather than a detection-performance improvement, which is why that value was smallest for the cheapest follow-up modality and largest for the most expensive one.</w:t>
      </w:r>
    </w:p>
    <w:p w14:paraId="49407F1E" w14:textId="7011F128" w:rsidR="003E3489" w:rsidRDefault="00405CD3">
      <w:pPr>
        <w:spacing w:after="160"/>
        <w:jc w:val="both"/>
      </w:pPr>
      <w:r>
        <w:rPr>
          <w:sz w:val="24"/>
          <w:szCs w:val="24"/>
        </w:rPr>
        <w:t>The gate analysis identifies whether and when wastewater sampling can improve on universal passenger testing as a targeting mechanism. A related but distinct question is what the value of system-level advance warning from aircraft WBE would be</w:t>
      </w:r>
      <w:r w:rsidR="00770FE3">
        <w:rPr>
          <w:sz w:val="24"/>
          <w:szCs w:val="24"/>
        </w:rPr>
        <w:t>,</w:t>
      </w:r>
      <w:r>
        <w:rPr>
          <w:sz w:val="24"/>
          <w:szCs w:val="24"/>
        </w:rPr>
        <w:t xml:space="preserve"> not as a trigger for individual follow-up, but as an earlier signal that could change the timing of screening deployment or countermeasure activation at the population level. Section 3.10 addresses this second question.</w:t>
      </w:r>
    </w:p>
    <w:p w14:paraId="49407F1F" w14:textId="77777777" w:rsidR="003E3489" w:rsidRDefault="00405CD3">
      <w:pPr>
        <w:pStyle w:val="Heading2"/>
        <w:keepNext/>
        <w:keepLines/>
        <w:spacing w:before="240" w:after="120"/>
      </w:pPr>
      <w:r>
        <w:t>3.10 Lead-time value of WBE surveillance</w:t>
      </w:r>
    </w:p>
    <w:p w14:paraId="49407F20" w14:textId="77777777" w:rsidR="003E3489" w:rsidRDefault="00405CD3">
      <w:pPr>
        <w:spacing w:after="160"/>
        <w:jc w:val="both"/>
      </w:pPr>
      <w:r>
        <w:rPr>
          <w:sz w:val="24"/>
          <w:szCs w:val="24"/>
        </w:rPr>
        <w:t>Table 5 summarises the mechanism decomposition and portfolio results from the lead-time value analysis (Section 2.7.2) at 10,000 arrivals/day, base-case prevalence, and high-throughput molecular screening.</w:t>
      </w:r>
    </w:p>
    <w:p w14:paraId="49407F21" w14:textId="7F214666" w:rsidR="003E3489" w:rsidRDefault="00405CD3">
      <w:pPr>
        <w:spacing w:after="160"/>
        <w:jc w:val="both"/>
      </w:pPr>
      <w:r>
        <w:rPr>
          <w:sz w:val="24"/>
          <w:szCs w:val="24"/>
        </w:rPr>
        <w:t>Mechanism decomposition (SARS-CoV-2, molecular screening): the benefit of five days of advance warning under Scenario A (screening only) was USD 515 million per event. Under Scenario B (screening plus earlier countermeasures), the corresponding figure was USD 1.02 billion; the incremental value attributable to countermeasure timing (ΔCM) was USD 509 million, representing 50% of the Scenario B total. At 14 days, 81% of the Scenario B value derived from countermeasure timing. This pattern</w:t>
      </w:r>
      <w:r w:rsidR="008E5BD3">
        <w:rPr>
          <w:sz w:val="24"/>
          <w:szCs w:val="24"/>
        </w:rPr>
        <w:t>,</w:t>
      </w:r>
      <w:r>
        <w:rPr>
          <w:sz w:val="24"/>
          <w:szCs w:val="24"/>
        </w:rPr>
        <w:t xml:space="preserve"> in which the majority of combined-scenario benefit at longer lead times is attributable to the policy-timing pathway rather than the screening-timing pathway</w:t>
      </w:r>
      <w:r w:rsidR="008E5BD3">
        <w:rPr>
          <w:sz w:val="24"/>
          <w:szCs w:val="24"/>
        </w:rPr>
        <w:t xml:space="preserve">, </w:t>
      </w:r>
      <w:r>
        <w:rPr>
          <w:sz w:val="24"/>
          <w:szCs w:val="24"/>
        </w:rPr>
        <w:lastRenderedPageBreak/>
        <w:t>was observed consistently across the tested lead times under the evaluated configuration. The mechanism decomposition values are conditional event-level benefits; they are not probability-weighted annual figures.</w:t>
      </w:r>
    </w:p>
    <w:p w14:paraId="49407F22" w14:textId="77777777" w:rsidR="003E3489" w:rsidRDefault="00405CD3">
      <w:pPr>
        <w:spacing w:after="160"/>
        <w:jc w:val="both"/>
      </w:pPr>
      <w:r>
        <w:rPr>
          <w:sz w:val="24"/>
          <w:szCs w:val="24"/>
        </w:rPr>
        <w:t>Portfolio thresholds (base probability assumptions, five days of actionable warning, excluding the avian-influenza stress test):</w:t>
      </w:r>
    </w:p>
    <w:p w14:paraId="0B3130E0" w14:textId="77777777" w:rsidR="00AE6ACF" w:rsidRDefault="00AE6ACF">
      <w:pPr>
        <w:spacing w:after="160"/>
        <w:jc w:val="both"/>
        <w:rPr>
          <w:sz w:val="24"/>
          <w:szCs w:val="24"/>
        </w:rPr>
      </w:pPr>
    </w:p>
    <w:p w14:paraId="49407F32" w14:textId="65691400" w:rsidR="003E3489" w:rsidRDefault="00405CD3">
      <w:pPr>
        <w:spacing w:after="160"/>
        <w:jc w:val="both"/>
      </w:pPr>
      <w:r>
        <w:rPr>
          <w:sz w:val="24"/>
          <w:szCs w:val="24"/>
        </w:rPr>
        <w:t>Per-flight figures use 14,600 arriving flights per year (10,000 arrivals/day ÷ 250 passengers/flight × 365 days). These are cost-neutral thresholds: if the annual cost of a broad WBE surveillance panel were below the relevant threshold, deployment would be expected to be cost-neutral or better under the stated probability assumptions. All P</w:t>
      </w:r>
      <w:r>
        <w:rPr>
          <w:sz w:val="24"/>
          <w:szCs w:val="24"/>
          <w:vertAlign w:val="subscript"/>
        </w:rPr>
        <w:t>event</w:t>
      </w:r>
      <w:r>
        <w:rPr>
          <w:sz w:val="24"/>
          <w:szCs w:val="24"/>
        </w:rPr>
        <w:t xml:space="preserve"> and P</w:t>
      </w:r>
      <w:r>
        <w:rPr>
          <w:sz w:val="24"/>
          <w:szCs w:val="24"/>
          <w:vertAlign w:val="subscript"/>
        </w:rPr>
        <w:t>warning</w:t>
      </w:r>
      <w:r>
        <w:rPr>
          <w:sz w:val="24"/>
          <w:szCs w:val="24"/>
        </w:rPr>
        <w:t xml:space="preserve"> values remain unsourced scenario assumptions; neither threshold constitutes a budget recommendation. Full configuration, per-threat arithmetic, and flagged assumptions are reported in Supplementary Methods S-BL.</w:t>
      </w:r>
    </w:p>
    <w:p w14:paraId="22454CF2" w14:textId="77777777" w:rsidR="003E3489" w:rsidRDefault="00405CD3">
      <w:pPr>
        <w:spacing w:after="160"/>
        <w:jc w:val="both"/>
      </w:pPr>
      <w:r>
        <w:rPr>
          <w:sz w:val="24"/>
          <w:szCs w:val="24"/>
        </w:rPr>
        <w:t>To illustrate how thresholds scale with arrival volume, the framework was additionally applied at national-scale configurations for Australia (52,700 estimated inbound international air arrivals per day based on BITRE two-way data under a 50:50 directional split assumption; downstream population 27,100,000) and the United States (300,000 international air arrivals per day, an illustrative scale assumption; population 350,000,000). At five days of actionable warning and base probability assumptions, excluding the avian-influenza stress test, Scenario A thresholds were USD 22.6 million per year (Australia) and USD 154.2 million per year (United States); Scenario B thresholds were USD 39.7 million and USD 282.6 million respectively. Per-flight thresholds were broadly similar across these illustrative scenarios. Configuration records, provenance notes, and sensitivity results for both national-scale analyses are provided in Supplementary Material.</w:t>
      </w:r>
    </w:p>
    <w:p w14:paraId="49407F33" w14:textId="77777777" w:rsidR="003E3489" w:rsidRDefault="00405CD3">
      <w:pPr>
        <w:spacing w:after="160"/>
        <w:jc w:val="both"/>
      </w:pPr>
      <w:r>
        <w:rPr>
          <w:sz w:val="24"/>
        </w:rPr>
        <w:t>Unresolved ICU utilisation inputs were bounded rather than assigned point values, and the effect on lead-time benefit is small. At the central rate of USD 3,000 per ICU day, sweeping each pathogen's ICU admission fraction and length of stay across its plausible range moved the ICU component of the Scenario A five-day benefit between 0.03% and 1.26% for Ebola virus disease (fraction 0.05–0.80) and between 0.37% and 5.25% for norovirus (0.01–0.05), reaching at most 2.49% and 9.98% respectively at USD 6,000 per ICU day. Diphtheria, for which no ICU fraction is specified, was bounded at 0.10–0.30: this adds USD 0.23–0.97 million to its Scenario A five-day benefit of USD 135.8 million at the central rate, equivalent to 0.17–0.71% of that benefit and at most 1.41% at the top of the cost range. Underlying values are in Supplementary Methods S3.</w:t>
      </w:r>
    </w:p>
    <w:p w14:paraId="49407F33" w14:textId="77777777" w:rsidR="003E3489" w:rsidRDefault="00405CD3">
      <w:pPr>
        <w:spacing w:after="160"/>
        <w:jc w:val="both"/>
      </w:pPr>
      <w:r>
        <w:rPr>
          <w:sz w:val="24"/>
          <w:szCs w:val="24"/>
        </w:rPr>
        <w:t>Full sensitivity tables (low, base, and high probability assumptions; d = 2, 5, 10, and 14 days; all four portfolio views) are reported in Supplementary Material.</w:t>
      </w:r>
    </w:p>
    <w:p w14:paraId="49407F34" w14:textId="77777777" w:rsidR="003E3489" w:rsidRDefault="00405CD3">
      <w:pPr>
        <w:spacing w:after="160"/>
        <w:jc w:val="both"/>
      </w:pPr>
      <w:r>
        <w:rPr>
          <w:sz w:val="24"/>
          <w:szCs w:val="24"/>
        </w:rPr>
        <w:t>Avian-influenza stress test (reported separately): including the avian-influenza-like threat class raises the Scenario B portfolio to USD 51.8 million per year at d = 5 under base probability assumptions, 82.8% of it attributable to that class alone. The class carries a high assumed case-fatality range (0.5–5.0%) and is not a validated H5N1 estimate, so it is excluded from the headline figures above; the concentration is itself a caution against reading the portfolio totals as robust to the composition of threat classes.</w:t>
      </w:r>
    </w:p>
    <w:p w14:paraId="49407F5F" w14:textId="77777777" w:rsidR="003E3489" w:rsidRDefault="00405CD3">
      <w:pPr>
        <w:pStyle w:val="Caption"/>
        <w:keepNext/>
        <w:keepLines/>
        <w:spacing w:before="80"/>
      </w:pPr>
      <w:r>
        <w:t>Table 5. Lead-time value of WBE surveillance.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4"/>
        <w:gridCol w:w="1275"/>
        <w:gridCol w:w="1913"/>
        <w:gridCol w:w="1700"/>
        <w:gridCol w:w="1488"/>
      </w:tblGrid>
      <w:tr w:rsidR="003E3489" w14:paraId="49407F3A" w14:textId="77777777">
        <w:trPr>
          <w:tblHeader/>
        </w:trPr>
        <w:tc>
          <w:tcPr>
            <w:tcW w:w="2800" w:type="dxa"/>
            <w:shd w:val="clear" w:color="auto" w:fill="D9D9D9"/>
          </w:tcPr>
          <w:p w14:paraId="49407F35" w14:textId="77777777" w:rsidR="003E3489" w:rsidRDefault="00405CD3">
            <w:r>
              <w:rPr>
                <w:b/>
                <w:bCs/>
              </w:rPr>
              <w:t>Scenario</w:t>
            </w:r>
          </w:p>
        </w:tc>
        <w:tc>
          <w:tcPr>
            <w:tcW w:w="1200" w:type="dxa"/>
            <w:shd w:val="clear" w:color="auto" w:fill="D9D9D9"/>
          </w:tcPr>
          <w:p w14:paraId="49407F36" w14:textId="77777777" w:rsidR="003E3489" w:rsidRDefault="00405CD3">
            <w:r>
              <w:rPr>
                <w:b/>
                <w:bCs/>
              </w:rPr>
              <w:t>Lead time (d)</w:t>
            </w:r>
          </w:p>
        </w:tc>
        <w:tc>
          <w:tcPr>
            <w:tcW w:w="1800" w:type="dxa"/>
            <w:shd w:val="clear" w:color="auto" w:fill="D9D9D9"/>
          </w:tcPr>
          <w:p w14:paraId="49407F37" w14:textId="77777777" w:rsidR="003E3489" w:rsidRDefault="00405CD3">
            <w:r>
              <w:rPr>
                <w:b/>
                <w:bCs/>
              </w:rPr>
              <w:t>Benefit B(d) (USD)</w:t>
            </w:r>
          </w:p>
        </w:tc>
        <w:tc>
          <w:tcPr>
            <w:tcW w:w="1600" w:type="dxa"/>
            <w:shd w:val="clear" w:color="auto" w:fill="D9D9D9"/>
          </w:tcPr>
          <w:p w14:paraId="49407F38" w14:textId="77777777" w:rsidR="003E3489" w:rsidRDefault="00405CD3">
            <w:r>
              <w:rPr>
                <w:b/>
                <w:bCs/>
              </w:rPr>
              <w:t>ΔCM value (USD)</w:t>
            </w:r>
          </w:p>
        </w:tc>
        <w:tc>
          <w:tcPr>
            <w:tcW w:w="1400" w:type="dxa"/>
            <w:shd w:val="clear" w:color="auto" w:fill="D9D9D9"/>
          </w:tcPr>
          <w:p w14:paraId="49407F39" w14:textId="77777777" w:rsidR="003E3489" w:rsidRDefault="00405CD3">
            <w:r>
              <w:rPr>
                <w:b/>
                <w:bCs/>
              </w:rPr>
              <w:t>ΔCM % of Scenario B</w:t>
            </w:r>
          </w:p>
        </w:tc>
      </w:tr>
      <w:tr w:rsidR="003E3489" w14:paraId="49407F40" w14:textId="77777777">
        <w:tc>
          <w:tcPr>
            <w:tcW w:w="2800" w:type="dxa"/>
          </w:tcPr>
          <w:p w14:paraId="49407F3B" w14:textId="77777777" w:rsidR="003E3489" w:rsidRDefault="00405CD3">
            <w:r>
              <w:t>A — screening only, SARS-CoV-2</w:t>
            </w:r>
          </w:p>
        </w:tc>
        <w:tc>
          <w:tcPr>
            <w:tcW w:w="1200" w:type="dxa"/>
          </w:tcPr>
          <w:p w14:paraId="49407F3C" w14:textId="77777777" w:rsidR="003E3489" w:rsidRDefault="00405CD3">
            <w:r>
              <w:t>5</w:t>
            </w:r>
          </w:p>
        </w:tc>
        <w:tc>
          <w:tcPr>
            <w:tcW w:w="1800" w:type="dxa"/>
          </w:tcPr>
          <w:p w14:paraId="49407F3D" w14:textId="77777777" w:rsidR="003E3489" w:rsidRDefault="00405CD3">
            <w:r>
              <w:t>$515M</w:t>
            </w:r>
          </w:p>
        </w:tc>
        <w:tc>
          <w:tcPr>
            <w:tcW w:w="1600" w:type="dxa"/>
          </w:tcPr>
          <w:p w14:paraId="49407F3E" w14:textId="77777777" w:rsidR="003E3489" w:rsidRDefault="00405CD3">
            <w:r>
              <w:t>—</w:t>
            </w:r>
          </w:p>
        </w:tc>
        <w:tc>
          <w:tcPr>
            <w:tcW w:w="1400" w:type="dxa"/>
          </w:tcPr>
          <w:p w14:paraId="49407F3F" w14:textId="77777777" w:rsidR="003E3489" w:rsidRDefault="00405CD3">
            <w:r>
              <w:t>—</w:t>
            </w:r>
          </w:p>
        </w:tc>
      </w:tr>
      <w:tr w:rsidR="003E3489" w14:paraId="49407F46" w14:textId="77777777">
        <w:tc>
          <w:tcPr>
            <w:tcW w:w="2800" w:type="dxa"/>
          </w:tcPr>
          <w:p w14:paraId="49407F41" w14:textId="77777777" w:rsidR="003E3489" w:rsidRDefault="00405CD3">
            <w:r>
              <w:t>B — screening + CM, SARS-CoV-2</w:t>
            </w:r>
          </w:p>
        </w:tc>
        <w:tc>
          <w:tcPr>
            <w:tcW w:w="1200" w:type="dxa"/>
          </w:tcPr>
          <w:p w14:paraId="49407F42" w14:textId="77777777" w:rsidR="003E3489" w:rsidRDefault="00405CD3">
            <w:r>
              <w:t>5</w:t>
            </w:r>
          </w:p>
        </w:tc>
        <w:tc>
          <w:tcPr>
            <w:tcW w:w="1800" w:type="dxa"/>
          </w:tcPr>
          <w:p w14:paraId="49407F43" w14:textId="77777777" w:rsidR="003E3489" w:rsidRDefault="00405CD3">
            <w:r>
              <w:t>$1,020M</w:t>
            </w:r>
          </w:p>
        </w:tc>
        <w:tc>
          <w:tcPr>
            <w:tcW w:w="1600" w:type="dxa"/>
          </w:tcPr>
          <w:p w14:paraId="49407F44" w14:textId="77777777" w:rsidR="003E3489" w:rsidRDefault="00405CD3">
            <w:r>
              <w:t>$509M</w:t>
            </w:r>
          </w:p>
        </w:tc>
        <w:tc>
          <w:tcPr>
            <w:tcW w:w="1400" w:type="dxa"/>
          </w:tcPr>
          <w:p w14:paraId="49407F45" w14:textId="77777777" w:rsidR="003E3489" w:rsidRDefault="00405CD3">
            <w:r>
              <w:t>50%</w:t>
            </w:r>
          </w:p>
        </w:tc>
      </w:tr>
      <w:tr w:rsidR="003E3489" w14:paraId="49407F4C" w14:textId="77777777">
        <w:tc>
          <w:tcPr>
            <w:tcW w:w="2800" w:type="dxa"/>
          </w:tcPr>
          <w:p w14:paraId="49407F47" w14:textId="77777777" w:rsidR="003E3489" w:rsidRDefault="00405CD3">
            <w:r>
              <w:t>B — screening + CM, SARS-CoV-2</w:t>
            </w:r>
          </w:p>
        </w:tc>
        <w:tc>
          <w:tcPr>
            <w:tcW w:w="1200" w:type="dxa"/>
          </w:tcPr>
          <w:p w14:paraId="49407F48" w14:textId="77777777" w:rsidR="003E3489" w:rsidRDefault="00405CD3">
            <w:r>
              <w:t>14</w:t>
            </w:r>
          </w:p>
        </w:tc>
        <w:tc>
          <w:tcPr>
            <w:tcW w:w="1800" w:type="dxa"/>
          </w:tcPr>
          <w:p w14:paraId="49407F49" w14:textId="77777777" w:rsidR="003E3489" w:rsidRDefault="00405CD3">
            <w:r>
              <w:t>(see suppl.)</w:t>
            </w:r>
          </w:p>
        </w:tc>
        <w:tc>
          <w:tcPr>
            <w:tcW w:w="1600" w:type="dxa"/>
          </w:tcPr>
          <w:p w14:paraId="49407F4A" w14:textId="77777777" w:rsidR="003E3489" w:rsidRDefault="00405CD3">
            <w:r>
              <w:t>(see suppl.)</w:t>
            </w:r>
          </w:p>
        </w:tc>
        <w:tc>
          <w:tcPr>
            <w:tcW w:w="1400" w:type="dxa"/>
          </w:tcPr>
          <w:p w14:paraId="49407F4B" w14:textId="77777777" w:rsidR="003E3489" w:rsidRDefault="00405CD3">
            <w:r>
              <w:t>81%</w:t>
            </w:r>
          </w:p>
        </w:tc>
      </w:tr>
      <w:tr w:rsidR="003E3489" w14:paraId="49407F52" w14:textId="77777777">
        <w:tc>
          <w:tcPr>
            <w:tcW w:w="2800" w:type="dxa"/>
          </w:tcPr>
          <w:p w14:paraId="49407F4D" w14:textId="77777777" w:rsidR="003E3489" w:rsidRDefault="003E3489"/>
        </w:tc>
        <w:tc>
          <w:tcPr>
            <w:tcW w:w="1200" w:type="dxa"/>
          </w:tcPr>
          <w:p w14:paraId="49407F4E" w14:textId="77777777" w:rsidR="003E3489" w:rsidRDefault="003E3489"/>
        </w:tc>
        <w:tc>
          <w:tcPr>
            <w:tcW w:w="1800" w:type="dxa"/>
          </w:tcPr>
          <w:p w14:paraId="49407F4F" w14:textId="77777777" w:rsidR="003E3489" w:rsidRDefault="003E3489"/>
        </w:tc>
        <w:tc>
          <w:tcPr>
            <w:tcW w:w="1600" w:type="dxa"/>
          </w:tcPr>
          <w:p w14:paraId="49407F50" w14:textId="77777777" w:rsidR="003E3489" w:rsidRDefault="003E3489"/>
        </w:tc>
        <w:tc>
          <w:tcPr>
            <w:tcW w:w="1400" w:type="dxa"/>
          </w:tcPr>
          <w:p w14:paraId="49407F51" w14:textId="77777777" w:rsidR="003E3489" w:rsidRDefault="003E3489"/>
        </w:tc>
      </w:tr>
      <w:tr w:rsidR="003E3489" w14:paraId="49407F58" w14:textId="77777777">
        <w:tc>
          <w:tcPr>
            <w:tcW w:w="2800" w:type="dxa"/>
          </w:tcPr>
          <w:p w14:paraId="49407F53" w14:textId="77777777" w:rsidR="003E3489" w:rsidRDefault="00405CD3">
            <w:r>
              <w:t>Portfolio (Scenario A, d=5, base)</w:t>
            </w:r>
          </w:p>
        </w:tc>
        <w:tc>
          <w:tcPr>
            <w:tcW w:w="1200" w:type="dxa"/>
          </w:tcPr>
          <w:p w14:paraId="49407F54" w14:textId="77777777" w:rsidR="003E3489" w:rsidRDefault="00405CD3">
            <w:r>
              <w:t>Annual EV</w:t>
            </w:r>
          </w:p>
        </w:tc>
        <w:tc>
          <w:tcPr>
            <w:tcW w:w="1800" w:type="dxa"/>
          </w:tcPr>
          <w:p w14:paraId="49407F55" w14:textId="77777777" w:rsidR="003E3489" w:rsidRDefault="00405CD3">
            <w:r>
              <w:t>$4.92M</w:t>
            </w:r>
          </w:p>
        </w:tc>
        <w:tc>
          <w:tcPr>
            <w:tcW w:w="1600" w:type="dxa"/>
          </w:tcPr>
          <w:p w14:paraId="49407F56" w14:textId="77777777" w:rsidR="003E3489" w:rsidRDefault="00405CD3">
            <w:r>
              <w:t>Per flight: $337</w:t>
            </w:r>
          </w:p>
        </w:tc>
        <w:tc>
          <w:tcPr>
            <w:tcW w:w="1400" w:type="dxa"/>
          </w:tcPr>
          <w:p w14:paraId="49407F57" w14:textId="77777777" w:rsidR="003E3489" w:rsidRDefault="00405CD3">
            <w:r>
              <w:t>Deaths averted: 1.20/yr</w:t>
            </w:r>
          </w:p>
        </w:tc>
      </w:tr>
      <w:tr w:rsidR="003E3489" w14:paraId="49407F5E" w14:textId="77777777">
        <w:tc>
          <w:tcPr>
            <w:tcW w:w="2800" w:type="dxa"/>
          </w:tcPr>
          <w:p w14:paraId="49407F59" w14:textId="77777777" w:rsidR="003E3489" w:rsidRDefault="00405CD3">
            <w:r>
              <w:lastRenderedPageBreak/>
              <w:t>Portfolio (Scenario B, d=5, base)</w:t>
            </w:r>
          </w:p>
        </w:tc>
        <w:tc>
          <w:tcPr>
            <w:tcW w:w="1200" w:type="dxa"/>
          </w:tcPr>
          <w:p w14:paraId="49407F5A" w14:textId="77777777" w:rsidR="003E3489" w:rsidRDefault="00405CD3">
            <w:r>
              <w:t>Annual EV</w:t>
            </w:r>
          </w:p>
        </w:tc>
        <w:tc>
          <w:tcPr>
            <w:tcW w:w="1800" w:type="dxa"/>
          </w:tcPr>
          <w:p w14:paraId="49407F5B" w14:textId="77777777" w:rsidR="003E3489" w:rsidRDefault="00405CD3">
            <w:r>
              <w:t>$8.92M</w:t>
            </w:r>
          </w:p>
        </w:tc>
        <w:tc>
          <w:tcPr>
            <w:tcW w:w="1600" w:type="dxa"/>
          </w:tcPr>
          <w:p w14:paraId="49407F5C" w14:textId="77777777" w:rsidR="003E3489" w:rsidRDefault="00405CD3">
            <w:r>
              <w:t>Per flight: $611</w:t>
            </w:r>
          </w:p>
        </w:tc>
        <w:tc>
          <w:tcPr>
            <w:tcW w:w="1400" w:type="dxa"/>
          </w:tcPr>
          <w:p w14:paraId="49407F5D" w14:textId="77777777" w:rsidR="003E3489" w:rsidRDefault="00405CD3">
            <w:r>
              <w:t>Deaths averted: 2.11/yr</w:t>
            </w:r>
          </w:p>
        </w:tc>
      </w:tr>
    </w:tbl>
    <w:p w14:paraId="49407F5F" w14:textId="77777777" w:rsidR="003E3489" w:rsidRDefault="00405CD3">
      <w:pPr>
        <w:pStyle w:val="Caption"/>
        <w:keepNext/>
        <w:keepLines/>
        <w:spacing w:before="80"/>
      </w:pPr>
      <w:r>
        <w:t>Notes. Upper panel: event-level lead-time benefit for SARS-CoV-2 (high-throughput molecular screening, 10,000 arrivals/day) under Scenario A (screening only) and Scenario B (screening plus earlier countermeasures), with the incremental countermeasure contribution ΔCM and its share of the Scenario B total; values are conditional on a relevant event occurring and are not probability-weighted. Lower panel: maximum cost-neutral annual surveillance expenditure and expected deaths averted per year at d = 5 days, base probability assumptions, excluding the avian-influenza stress test (inputs in Supplementary Table S3). All monetary values in USD.</w:t>
      </w:r>
    </w:p>
    <w:p w14:paraId="49407F60" w14:textId="77777777" w:rsidR="003E3489" w:rsidRDefault="00405CD3">
      <w:pPr>
        <w:pStyle w:val="Heading1"/>
        <w:keepNext/>
        <w:keepLines/>
        <w:spacing w:before="240" w:after="120"/>
      </w:pPr>
      <w:r>
        <w:t>4. Discussion</w:t>
      </w:r>
    </w:p>
    <w:p w14:paraId="49407F61" w14:textId="77777777" w:rsidR="003E3489" w:rsidRDefault="00405CD3">
      <w:pPr>
        <w:pStyle w:val="Heading2"/>
        <w:keepNext/>
        <w:keepLines/>
        <w:spacing w:before="240" w:after="120"/>
      </w:pPr>
      <w:r>
        <w:t>4.1 Principal findings</w:t>
      </w:r>
    </w:p>
    <w:p w14:paraId="49407F62" w14:textId="77777777" w:rsidR="003E3489" w:rsidRDefault="00405CD3">
      <w:pPr>
        <w:spacing w:after="160"/>
        <w:jc w:val="both"/>
      </w:pPr>
      <w:r>
        <w:rPr>
          <w:sz w:val="24"/>
        </w:rPr>
        <w:t>The three analyses answer different questions with different comparators and are complementary rather than competing. High-throughput molecular testing was cost-minimising for all six primary pathogens, with probabilistic confidence varying substantially across them (Section 3.7). Aircraft WBE-triggered follow-up reduces cost relative to universal screening only within narrow operational conditions (Section 3.9). And advance warning, if generated and acted upon, carries the conditional value quantified in Section 3.10. The framework's contribution is to place each analysis on the spectrum from threshold specification to conditional value estimation, and to identify what operational evidence would establish whether real deployments meet the conditions either wastewater result requires.</w:t>
      </w:r>
    </w:p>
    <w:p w14:paraId="49407F61" w14:textId="77777777" w:rsidR="003E3489" w:rsidRDefault="00405CD3">
      <w:pPr>
        <w:pStyle w:val="Heading2"/>
        <w:keepNext/>
        <w:keepLines/>
        <w:spacing w:before="240" w:after="120"/>
      </w:pPr>
      <w:r>
        <w:t>4.2 Screening economics and uncertainty</w:t>
      </w:r>
    </w:p>
    <w:p w14:paraId="49407F62" w14:textId="77777777" w:rsidR="003E3489" w:rsidRDefault="00405CD3">
      <w:pPr>
        <w:spacing w:after="160"/>
        <w:jc w:val="both"/>
      </w:pPr>
      <w:r>
        <w:rPr>
          <w:sz w:val="24"/>
        </w:rPr>
        <w:t>Under matched diagnostic performance, the deterministic cost difference between laboratory PCR and high-throughput molecular testing reflects assumed per-test prices and nothing else. When two platforms are assigned identical sensitivity and specificity, a decision-analytic model of this kind must by construction produce identical epidemiological outcomes, so any cost preference traces to the parameters that differ between them. This is a methodological caution as much as a result: an analysis that varies a competing platform's performance while holding the platform of interest at its most favourable assumption can generate a cost preference reflecting asymmetric design rather than better detection. Turnaround time is not a parameter in this model and enters no importation, transmission or cost term, so it affects no modelled infection, death, cost or ranking. Dewhurst et al. (2022) report Sentinel results in as little as 35 minutes including sample preparation, but that study is company-affiliated and uncorroborated (Section 4.5), so any operational value of faster result availability is unquantified here.</w:t>
      </w:r>
    </w:p>
    <w:p w14:paraId="49407F62" w14:textId="77777777" w:rsidR="003E3489" w:rsidRDefault="00405CD3">
      <w:pPr>
        <w:spacing w:after="160"/>
        <w:jc w:val="both"/>
      </w:pPr>
      <w:r>
        <w:rPr>
          <w:sz w:val="24"/>
        </w:rPr>
        <w:t>The framework's practical value lies less in which strategy minimised cost in each scenario than in where the decision boundary lies (Figure 3). Prevalence sensitivity analysis identified diphtheria as closest to a prevalence-driven threshold, and the value-of-statistical-life and countermeasure analyses converged on diphtheria and, to a lesser extent, norovirus and Ebola virus disease. Convergence across independent sensitivity axes suggests these pathogens sit genuinely close to a decision boundary under the current parameterisation, rather than reflecting noise in any single analysis. Probabilistic analysis sharpens the point: deterministic estimates alone would overstate the confidence with which several recommendations can be made, and the deterministic-probabilistic gap was largest for Ebola virus disease and diphtheria, whose absolute cost of inaction is low relative to the fixed operational cost differences between strategies and which are therefore more sensitive to joint parameter draws. Decision-support outputs of this kind should report PSA-derived probabilities alongside, not instead of, deterministic estimates, particularly where the two diverge.</w:t>
      </w:r>
    </w:p>
    <w:p w14:paraId="49407F61" w14:textId="77777777" w:rsidR="003E3489" w:rsidRDefault="00405CD3">
      <w:pPr>
        <w:pStyle w:val="Heading2"/>
        <w:keepNext/>
        <w:keepLines/>
        <w:spacing w:before="240" w:after="120"/>
      </w:pPr>
      <w:r>
        <w:t>4.3 Operational implications of aircraft wastewater surveillance</w:t>
      </w:r>
    </w:p>
    <w:p w14:paraId="49407F62" w14:textId="77777777" w:rsidR="003E3489" w:rsidRDefault="00405CD3">
      <w:pPr>
        <w:spacing w:after="160"/>
        <w:jc w:val="both"/>
      </w:pPr>
      <w:r>
        <w:rPr>
          <w:sz w:val="24"/>
        </w:rPr>
        <w:t>The threshold analysis identifies the operational conditions under which gate-triggered follow-up testing would compete economically with universal passenger screening (Section 3.9, Table 4); it does not demonstrate that current or near-term deployments achieve them. Two kinds of validation are relevant and only one is complete: the gate's closed-form solution was validated computationally against boundary cases and by independent numerical enumeration, but the four aircraft-WBE performance parameters — detection probability under real operating conditions, the false-positive rate of a fielded sampling and assay pipeline, achievable cost per aircraft sample, and attainable follow-up coverage — remain unestimated, and none is established in the aircraft-specific literature reviewed here. WBE-gating was competitive only at high detection probability, generally with complete follow-up coverage (norovirus with laboratory PCR follow-up excepted) and, for the lowest-cost follow-up modality, only above q = 0.80. That specifies what a programme would need to demonstrate; whether any deployment does is an empirical question this analysis frames rather than answers.</w:t>
      </w:r>
    </w:p>
    <w:p w14:paraId="49407F62" w14:textId="77777777" w:rsidR="003E3489" w:rsidRDefault="00405CD3">
      <w:pPr>
        <w:spacing w:after="160"/>
        <w:jc w:val="both"/>
      </w:pPr>
      <w:r>
        <w:rPr>
          <w:sz w:val="24"/>
        </w:rPr>
        <w:t>The lead-time analysis addresses a different question under different assumptions: if WBE generates advance warning, what is that warning worth? The value depends on which response pathway it activates and on the assumed lead time (Table 5). The illustrative national-scale results indicate that substantial annual expenditure could be justified, the higher Scenario B thresholds reflecting the additional value of advancing domestic countermeasures alongside screening. These are conditional expenditure thresholds, not demonstrated benefits: they depend on assumed event and actionable-warning probabilities and on simplified national mixing, and realising any of the value requires a signal that triggers timely action, which earlier laboratory detection alone does not establish.</w:t>
      </w:r>
    </w:p>
    <w:p w14:paraId="49407F62" w14:textId="77777777" w:rsidR="003E3489" w:rsidRDefault="00405CD3">
      <w:pPr>
        <w:spacing w:after="160"/>
        <w:jc w:val="both"/>
      </w:pPr>
      <w:r>
        <w:rPr>
          <w:sz w:val="24"/>
        </w:rPr>
        <w:t>Aircraft-level sampling has moved beyond single-site research. The US Traveler-Based Genomic Surveillance programme operates at eight airports, collecting wastewater from individual aircraft during routine servicing at three of them and pooled wastewater from multiple aircraft at an airport triturator at three, alongside voluntary traveller nasal-swab testing; a triturator is a consolidation point where lavatory trucks deposit aircraft wastewater and does not include airport terminal waste. Between September 2021 and August 2024 the programme tested more than 600,000 travellers and more than 1,200 wastewater samples across ten airports (Centers for Disease Control and Prevention, 2025; Friedman et al., 2025). The Republic of Korea samples aircraft and ships as well as airport and port facilities across all thirteen of its national quarantine stations, analysing 1,042 samples in the first eight months of 2024 (Lee et al., 2024). Australia's programme selects community sentinel sites partly on potential for disease incursion, naming airports as an example, without specifying the sampling type at such sites (Australian Centre for Disease Control, n.d.). These are not interchangeable interventions: wastewater from individual aircraft, pooled aircraft wastewater collected at a triturator, airport terminal wastewater and municipal wastewater have different catchments, and only the first corresponds to the flight-level gate modelled here. Programme funding is likewise not comparable with the thresholds reported above, and the comparison in Table 6 is descriptive only. The illustrative aircraft-wastewater budget shown there sits below the modelled national thresholds, but the programme samples selected routes at selected airports while the modelled scenario covers all inbound international air arrivals, and no published allocation separates aircraft sampling from traveller testing. Nothing here evaluates the effectiveness or cost-effectiveness of any named programme.</w:t>
      </w:r>
    </w:p>
    <w:p w14:paraId="49407E03" w14:textId="3DD937FC" w:rsidR="003E3489" w:rsidRDefault="00FE0B37" w:rsidP="00FE0B37">
      <w:pPr>
        <w:pStyle w:val="Caption"/>
        <w:keepLines/>
      </w:pPr>
      <w:bookmarkStart w:id="0" w:name="_Ref240534930"/>
      <w:bookmarkEnd w:id="0"/>
      <w:r>
        <w:t>Table 6. Modelled national-scale thresholds (Panel A) and an illustrative aircraft-wastewater comparator budget (Panel B).</w:t>
      </w:r>
    </w:p>
    <w:p w14:paraId="49407E03" w14:textId="3DD937FC" w:rsidR="003E3489" w:rsidRDefault="00FE0B37" w:rsidP="00FE0B37">
      <w:pPr>
        <w:pStyle w:val="Caption"/>
        <w:keepLines/>
      </w:pPr>
      <w:bookmarkStart w:id="0" w:name="_Ref240534930"/>
      <w:bookmarkEnd w:id="0"/>
      <w:r>
        <w:t>Panel A. Modelled scenarios (outputs of this analysis).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sz w:val="17"/>
              </w:rPr>
              <w:t>Configuration</w:t>
            </w:r>
          </w:p>
        </w:tc>
        <w:tc>
          <w:tcPr>
            <w:tcW w:type="dxa" w:w="1872"/>
          </w:tcPr>
          <w:p>
            <w:r/>
            <w:r>
              <w:rPr>
                <w:b/>
                <w:sz w:val="17"/>
              </w:rPr>
              <w:t>International air arrivals/day</w:t>
            </w:r>
          </w:p>
        </w:tc>
        <w:tc>
          <w:tcPr>
            <w:tcW w:type="dxa" w:w="1872"/>
          </w:tcPr>
          <w:p>
            <w:r/>
            <w:r>
              <w:rPr>
                <w:b/>
                <w:sz w:val="17"/>
              </w:rPr>
              <w:t>Downstream population</w:t>
            </w:r>
          </w:p>
        </w:tc>
        <w:tc>
          <w:tcPr>
            <w:tcW w:type="dxa" w:w="1872"/>
          </w:tcPr>
          <w:p>
            <w:r/>
            <w:r>
              <w:rPr>
                <w:b/>
                <w:sz w:val="17"/>
              </w:rPr>
              <w:t>Scenario A (USD/yr)</w:t>
            </w:r>
          </w:p>
        </w:tc>
        <w:tc>
          <w:tcPr>
            <w:tcW w:type="dxa" w:w="1872"/>
          </w:tcPr>
          <w:p>
            <w:r/>
            <w:r>
              <w:rPr>
                <w:b/>
                <w:sz w:val="17"/>
              </w:rPr>
              <w:t>Scenario B (USD/yr)</w:t>
            </w:r>
          </w:p>
        </w:tc>
      </w:tr>
      <w:tr>
        <w:tc>
          <w:tcPr>
            <w:tcW w:type="dxa" w:w="1872"/>
          </w:tcPr>
          <w:p>
            <w:r/>
            <w:r>
              <w:rPr>
                <w:sz w:val="17"/>
              </w:rPr>
              <w:t>Primary airport (base case)</w:t>
            </w:r>
          </w:p>
        </w:tc>
        <w:tc>
          <w:tcPr>
            <w:tcW w:type="dxa" w:w="1872"/>
          </w:tcPr>
          <w:p>
            <w:r/>
            <w:r>
              <w:rPr>
                <w:sz w:val="17"/>
              </w:rPr>
              <w:t>10,000</w:t>
            </w:r>
          </w:p>
        </w:tc>
        <w:tc>
          <w:tcPr>
            <w:tcW w:type="dxa" w:w="1872"/>
          </w:tcPr>
          <w:p>
            <w:r/>
            <w:r>
              <w:rPr>
                <w:sz w:val="17"/>
              </w:rPr>
              <w:t>10,000,000</w:t>
            </w:r>
          </w:p>
        </w:tc>
        <w:tc>
          <w:tcPr>
            <w:tcW w:type="dxa" w:w="1872"/>
          </w:tcPr>
          <w:p>
            <w:r/>
            <w:r>
              <w:rPr>
                <w:sz w:val="17"/>
              </w:rPr>
              <w:t>4.92 million</w:t>
            </w:r>
          </w:p>
        </w:tc>
        <w:tc>
          <w:tcPr>
            <w:tcW w:type="dxa" w:w="1872"/>
          </w:tcPr>
          <w:p>
            <w:r/>
            <w:r>
              <w:rPr>
                <w:sz w:val="17"/>
              </w:rPr>
              <w:t>8.92 million</w:t>
            </w:r>
          </w:p>
        </w:tc>
      </w:tr>
      <w:tr>
        <w:tc>
          <w:tcPr>
            <w:tcW w:type="dxa" w:w="1872"/>
          </w:tcPr>
          <w:p>
            <w:r/>
            <w:r>
              <w:rPr>
                <w:sz w:val="17"/>
              </w:rPr>
              <w:t>Australia — illustrative national scale</w:t>
            </w:r>
          </w:p>
        </w:tc>
        <w:tc>
          <w:tcPr>
            <w:tcW w:type="dxa" w:w="1872"/>
          </w:tcPr>
          <w:p>
            <w:r/>
            <w:r>
              <w:rPr>
                <w:sz w:val="17"/>
              </w:rPr>
              <w:t>52,700</w:t>
            </w:r>
          </w:p>
        </w:tc>
        <w:tc>
          <w:tcPr>
            <w:tcW w:type="dxa" w:w="1872"/>
          </w:tcPr>
          <w:p>
            <w:r/>
            <w:r>
              <w:rPr>
                <w:sz w:val="17"/>
              </w:rPr>
              <w:t>27,100,000</w:t>
            </w:r>
          </w:p>
        </w:tc>
        <w:tc>
          <w:tcPr>
            <w:tcW w:type="dxa" w:w="1872"/>
          </w:tcPr>
          <w:p>
            <w:r/>
            <w:r>
              <w:rPr>
                <w:sz w:val="17"/>
              </w:rPr>
              <w:t>22.6 million</w:t>
            </w:r>
          </w:p>
        </w:tc>
        <w:tc>
          <w:tcPr>
            <w:tcW w:type="dxa" w:w="1872"/>
          </w:tcPr>
          <w:p>
            <w:r/>
            <w:r>
              <w:rPr>
                <w:sz w:val="17"/>
              </w:rPr>
              <w:t>39.7 million</w:t>
            </w:r>
          </w:p>
        </w:tc>
      </w:tr>
      <w:tr>
        <w:tc>
          <w:tcPr>
            <w:tcW w:type="dxa" w:w="1872"/>
          </w:tcPr>
          <w:p>
            <w:r/>
            <w:r>
              <w:rPr>
                <w:sz w:val="17"/>
              </w:rPr>
              <w:t>United States — illustrative national scale</w:t>
            </w:r>
          </w:p>
        </w:tc>
        <w:tc>
          <w:tcPr>
            <w:tcW w:type="dxa" w:w="1872"/>
          </w:tcPr>
          <w:p>
            <w:r/>
            <w:r>
              <w:rPr>
                <w:sz w:val="17"/>
              </w:rPr>
              <w:t>300,000 (illustrative)</w:t>
            </w:r>
          </w:p>
        </w:tc>
        <w:tc>
          <w:tcPr>
            <w:tcW w:type="dxa" w:w="1872"/>
          </w:tcPr>
          <w:p>
            <w:r/>
            <w:r>
              <w:rPr>
                <w:sz w:val="17"/>
              </w:rPr>
              <w:t>350,000,000</w:t>
            </w:r>
          </w:p>
        </w:tc>
        <w:tc>
          <w:tcPr>
            <w:tcW w:type="dxa" w:w="1872"/>
          </w:tcPr>
          <w:p>
            <w:r/>
            <w:r>
              <w:rPr>
                <w:sz w:val="17"/>
              </w:rPr>
              <w:t>154.2 million</w:t>
            </w:r>
          </w:p>
        </w:tc>
        <w:tc>
          <w:tcPr>
            <w:tcW w:type="dxa" w:w="1872"/>
          </w:tcPr>
          <w:p>
            <w:r/>
            <w:r>
              <w:rPr>
                <w:sz w:val="17"/>
              </w:rPr>
              <w:t>282.6 million</w:t>
            </w:r>
          </w:p>
        </w:tc>
      </w:tr>
    </w:tbl>
    <w:p w14:paraId="49407E03" w14:textId="3DD937FC" w:rsidR="003E3489" w:rsidRDefault="00FE0B37" w:rsidP="00FE0B37">
      <w:pPr>
        <w:pStyle w:val="Caption"/>
        <w:keepLines/>
      </w:pPr>
      <w:bookmarkStart w:id="0" w:name="_Ref240534930"/>
      <w:bookmarkEnd w:id="0"/>
      <w:r>
        <w:t>Panel B. Illustrative aircraft-wastewater comparator budget (not reported expenditure).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sz w:val="17"/>
              </w:rPr>
              <w:t>Country / programme</w:t>
            </w:r>
          </w:p>
        </w:tc>
        <w:tc>
          <w:tcPr>
            <w:tcW w:type="dxa" w:w="1872"/>
          </w:tcPr>
          <w:p>
            <w:r/>
            <w:r>
              <w:rPr>
                <w:b/>
                <w:sz w:val="17"/>
              </w:rPr>
              <w:t>Annualised programme contract ceiling (USD m/year)</w:t>
            </w:r>
          </w:p>
        </w:tc>
        <w:tc>
          <w:tcPr>
            <w:tcW w:type="dxa" w:w="1872"/>
          </w:tcPr>
          <w:p>
            <w:r/>
            <w:r>
              <w:rPr>
                <w:b/>
                <w:sz w:val="17"/>
              </w:rPr>
              <w:t>Assumed individual-aircraft allocation (%)</w:t>
            </w:r>
          </w:p>
        </w:tc>
        <w:tc>
          <w:tcPr>
            <w:tcW w:type="dxa" w:w="1872"/>
          </w:tcPr>
          <w:p>
            <w:r/>
            <w:r>
              <w:rPr>
                <w:b/>
                <w:sz w:val="17"/>
              </w:rPr>
              <w:t>Illustrative aircraft-wastewater budget (USD m/year)</w:t>
            </w:r>
          </w:p>
        </w:tc>
        <w:tc>
          <w:tcPr>
            <w:tcW w:type="dxa" w:w="1872"/>
          </w:tcPr>
          <w:p>
            <w:r/>
            <w:r>
              <w:rPr>
                <w:b/>
                <w:sz w:val="17"/>
              </w:rPr>
              <w:t>Basis</w:t>
            </w:r>
          </w:p>
        </w:tc>
      </w:tr>
      <w:tr>
        <w:tc>
          <w:tcPr>
            <w:tcW w:type="dxa" w:w="1872"/>
          </w:tcPr>
          <w:p>
            <w:r/>
            <w:r>
              <w:rPr>
                <w:sz w:val="17"/>
              </w:rPr>
              <w:t>United States — CDC Traveler-Based Genomic Surveillance</w:t>
            </w:r>
          </w:p>
        </w:tc>
        <w:tc>
          <w:tcPr>
            <w:tcW w:type="dxa" w:w="1872"/>
          </w:tcPr>
          <w:p>
            <w:r/>
            <w:r>
              <w:rPr>
                <w:sz w:val="17"/>
              </w:rPr>
              <w:t>28.0</w:t>
            </w:r>
          </w:p>
        </w:tc>
        <w:tc>
          <w:tcPr>
            <w:tcW w:type="dxa" w:w="1872"/>
          </w:tcPr>
          <w:p>
            <w:r/>
            <w:r>
              <w:rPr>
                <w:sz w:val="17"/>
              </w:rPr>
              <w:t>10</w:t>
            </w:r>
          </w:p>
        </w:tc>
        <w:tc>
          <w:tcPr>
            <w:tcW w:type="dxa" w:w="1872"/>
          </w:tcPr>
          <w:p>
            <w:r/>
            <w:r>
              <w:rPr>
                <w:sz w:val="17"/>
              </w:rPr>
              <w:t>2.8</w:t>
            </w:r>
          </w:p>
        </w:tc>
        <w:tc>
          <w:tcPr>
            <w:tcW w:type="dxa" w:w="1872"/>
          </w:tcPr>
          <w:p>
            <w:r/>
            <w:r>
              <w:rPr>
                <w:sz w:val="17"/>
              </w:rPr>
              <w:t>Contract ceiling annualised over its stated period; aircraft allocation assumed</w:t>
            </w:r>
          </w:p>
        </w:tc>
      </w:tr>
    </w:tbl>
    <w:p w14:paraId="49407E03" w14:textId="3DD937FC" w:rsidR="003E3489" w:rsidRDefault="00FE0B37" w:rsidP="00FE0B37">
      <w:pPr>
        <w:pStyle w:val="Caption"/>
        <w:keepLines/>
      </w:pPr>
      <w:bookmarkStart w:id="0" w:name="_Ref240534930"/>
      <w:bookmarkEnd w:id="0"/>
      <w:r>
        <w:t>Notes. Panel A: cost-neutral maximum annual surveillance expenditure at d = 5 days of actionable warning, base probability assumptions, excluding the avian-influenza stress test, under Scenarios A and B as defined in Table 5; these are illustrative applications of one framework at different arrival volumes and catchment populations, and the United States arrivals input is an illustrative scale assumption. Land and sea importations are omitted and their effect has not been quantified. Panel B: the aircraft-only comparator assumes a 10% allocation of the annualised contract ceiling; it is not reported aircraft-wastewater expenditure. Programme coverage differs from the national modelled scenarios. Other programmes are not included because the sources reviewed did not provide sufficient comparable budget data. The award record, retrieval date and calculation are given in Extended Methods S-CB.</w:t>
      </w:r>
    </w:p>
    <w:p w14:paraId="49407F62" w14:textId="77777777" w:rsidR="003E3489" w:rsidRDefault="00405CD3">
      <w:pPr>
        <w:spacing w:after="160"/>
        <w:jc w:val="both"/>
      </w:pPr>
      <w:r>
        <w:rPr>
          <w:sz w:val="24"/>
        </w:rPr>
        <w:t>The lead times explored here (d = 2, 5, 10 and 14 days) span the range in which reported aircraft-wastewater detections have preceded other surveillance streams; they are not a measured advantage. A scoping review of 41 aviation wastewater studies across 20 countries characterises detections as occurring days to weeks ahead of clinical or municipal surveillance while noting the heterogeneity of settings, sampling points and comparators (Martin et al., 2026). One documented instance concerns the SARS-CoV-2 variant BA.3.2: US aircraft wastewater samples collected from 5 November 2025 preceded the earliest reported US clinical specimens, collected from 4 December 2025, by approximately four weeks, although traveller nasal-swab surveillance had detected the variant earlier still, in June 2025 (Shakya et al., 2026). Instances of this kind establish that advance detection occurs; they do not establish a distribution of lead times, and they say nothing about whether a detection is converted into an earlier screening or countermeasure decision. That conversion, not the detection interval, is what the Scenario A and Scenario B pathways represent, and it remains unmeasured. The modelled lead times should therefore be read as an exploratory range informed by reported detections, not as a validated estimate of the advancement any programme would deliver.</w:t>
      </w:r>
    </w:p>
    <w:p w14:paraId="49407F62" w14:textId="77777777" w:rsidR="003E3489" w:rsidRDefault="00405CD3">
      <w:pPr>
        <w:spacing w:after="160"/>
        <w:jc w:val="both"/>
      </w:pPr>
      <w:r>
        <w:rPr>
          <w:sz w:val="24"/>
        </w:rPr>
        <w:t>The evidence each mechanism needs is correspondingly different. For the gate, the critical unknowns are the four parameters above. For early warning, the critical questions are whether a system-level signal can be produced and communicated with enough lead time to change screening deployment or countermeasure activation — questions of operational readiness and institutional response that laboratory sensitivity does not answer. An operational evaluation measuring these quantities in a real deployment, tracking which actions a signal prompted and the time from wastewater result to institutional decision, would supply the inputs needed to move from threshold analysis to effectiveness assessment. Applying the scenario framework to further jurisdictions that already operate aircraft-level sampling, the Republic of Korea among them, is a natural extension; no such configuration was run here. A comparison of individual-aircraft sampling with pooled triturator sampling is a further priority: the two differ in cost per sample, in the number of flights each sample represents, and in whether a positive result can be attributed to a specific route, which is the attribution the flight-level gate depends on and which pooling removes.</w:t>
      </w:r>
    </w:p>
    <w:p w14:paraId="49407F61" w14:textId="77777777" w:rsidR="003E3489" w:rsidRDefault="00405CD3">
      <w:pPr>
        <w:pStyle w:val="Heading2"/>
        <w:keepNext/>
        <w:keepLines/>
        <w:spacing w:before="240" w:after="120"/>
      </w:pPr>
      <w:r>
        <w:t>4.4 Applicability and implementation</w:t>
      </w:r>
    </w:p>
    <w:p w14:paraId="49407F62" w14:textId="77777777" w:rsidR="003E3489" w:rsidRDefault="00405CD3">
      <w:pPr>
        <w:spacing w:after="160"/>
        <w:jc w:val="both"/>
      </w:pPr>
      <w:r>
        <w:rPr>
          <w:sz w:val="24"/>
        </w:rPr>
        <w:t>This framework is a decision-support tool, not a policy prescription. Its outputs depend on assumptions, arrival volume, catchment population, countermeasure timing and others, that vary by airport, jurisdiction and outbreak context, so border health authorities should recalibrate them to their own setting before applying any conclusion operationally. Whatever the modality, the modelled benefit accrues only where detection or warning is connected to action: a defined response pathway, spanning the border agencies and airport operators who would have to act within the window in which a signal remains useful, is a precondition for the values reported here rather than an implementation detail. Airport health screening also operates within a regulatory framework, including obligations under the International Health Regulations (2005), as amended (WHO, 2016), which establish core surveillance and response capacity requirements at designated points of entry, including airports. This economic model does not represent IHR compliance, reporting or governance processes and should not be read as doing so.</w:t>
      </w:r>
    </w:p>
    <w:p w14:paraId="49407F61" w14:textId="77777777" w:rsidR="003E3489" w:rsidRDefault="00405CD3">
      <w:pPr>
        <w:pStyle w:val="Heading2"/>
        <w:keepNext/>
        <w:keepLines/>
        <w:spacing w:before="240" w:after="120"/>
      </w:pPr>
      <w:r>
        <w:t>4.5 Limitations</w:t>
      </w:r>
    </w:p>
    <w:p w14:paraId="49407F62" w14:textId="77777777" w:rsidR="003E3489" w:rsidRDefault="00405CD3">
      <w:pPr>
        <w:spacing w:after="160"/>
        <w:jc w:val="both"/>
      </w:pPr>
      <w:r>
        <w:rPr>
          <w:sz w:val="24"/>
        </w:rPr>
        <w:t>The model represents a single airport and its passenger arrivals; it does not account for importation through other airports, land borders or sea routes. Reducing importations through the modelled routes lowers expected domestic burden, but the absolute benefit depends on the share of total importation risk those routes carry, which this analysis does not estimate; whole-of-border decisions require supplementary multi-route analysis. The transmission model assumes homogeneous mixing within the downstream catchment population, an approximation more defensible for some pathogens than others and demonstrably inadequate for measles at the transmissibility and response-timing assumptions tested (Section 3.8). Measles' transmissibility, combined with containment that operates through case-level contact tracing and ring vaccination within days rather than population-level intervention after weeks, is not represented by a single delayed, population-wide response parameter. That is a boundary condition of the modelling approach, not a finding about measles surveillance policy.</w:t>
      </w:r>
    </w:p>
    <w:p w14:paraId="49407F62" w14:textId="77777777" w:rsidR="003E3489" w:rsidRDefault="00405CD3">
      <w:pPr>
        <w:spacing w:after="160"/>
        <w:jc w:val="both"/>
      </w:pPr>
      <w:r>
        <w:rPr>
          <w:sz w:val="24"/>
        </w:rPr>
        <w:t>The 365-day horizon was chosen to test whether reductions observed over shorter windows partly reflect infections displaced beyond the window rather than permanently averted, a consideration for pathogens with slower intrinsic dynamics. Base-case countermeasure timing was held fixed, so horizon length does not vary with countermeasure assumptions. More consequentially, the countermeasure function suppresses Rt to a constant reduced level once its ramp completes and holds it there with no waning or relaxation term; at 365 days that is sustained full-strength suppression for approximately the final 330 days, which no real public-health response maintains without adjustment. The reported results are therefore conditional on an idealised, indefinitely sustained countermeasure, and a finite simulation under that assumption and constant importation prevalence cannot establish whether the reductions are permanent prevention or displacement beyond the horizon. A 90-day comparison using the same model and parameters is reported in Extended Methods S-90d. The WBE threshold results are horizon-sensitive and apply to the 365-day analysis only.</w:t>
      </w:r>
    </w:p>
    <w:p w14:paraId="49407F62" w14:textId="77777777" w:rsidR="003E3489" w:rsidRDefault="00405CD3">
      <w:pPr>
        <w:spacing w:after="160"/>
        <w:jc w:val="both"/>
      </w:pPr>
      <w:r>
        <w:rPr>
          <w:sz w:val="24"/>
        </w:rPr>
        <w:t>Domestic countermeasure-response parameters (response delay, ramp duration) are structural assumptions rather than literature-derived estimates, tested by sensitivity analysis but not independently validated; Extended Methods S-NPI contextualises them against the intervention-timing literature. Traveller arrival prevalence is held constant for the full analysis horizon (Section 2.2), a stronger simplification over a year than over shorter windows, since real source-country prevalence would rise, peak and decline. The economic parameters, VSL (base case USD 3,500,000), inpatient bed cost (USD 2,000/day), mean daily wage (USD 250/day) and productivity-loss uplift multiplier (ε = 0.70), are pre-specified scenario inputs applied consistently across all pathogens, not jurisdiction-specific estimates, and no specific published figure was adopted directly. The four-anchor VSL sensitivity analysis (Section 3.5) tests robustness to substantially different mortality valuations; it is evidence of that robustness, not validation of any anchor's accuracy. Economic inputs are not standardised to a common price year: the ICU rate is expressed in 2025 US dollars, whereas the ward bed-day rate, the mean daily wage and the value of statistical life carry no stated price year.</w:t>
      </w:r>
    </w:p>
    <w:p w14:paraId="49407F62" w14:textId="77777777" w:rsidR="003E3489" w:rsidRDefault="00405CD3">
      <w:pPr>
        <w:spacing w:after="160"/>
        <w:jc w:val="both"/>
      </w:pPr>
      <w:r>
        <w:rPr>
          <w:sz w:val="24"/>
        </w:rPr>
        <w:t>Test specificity is sampled in PSA and reported as an operational output (the false-positive count), but is not a driver of total modelled cost because false-positive follow-up costs are not priced in the current cost function (Section 2.6.1). Sensitivity, by contrast, is a direct economic driver through its effect on missed importations. The materiality of this scope decision was assessed directly: a threshold analysis derived from the locked deterministic results (Section 3.3.1; Supplementary Material) found that the false-positive follow-up cost required to change any reported strategy recommendation ranges from approximately USD 564 per false positive (influenza A/B, low prevalence) to approximately USD 182,844 per false positive, across the eighteen pathogen × prevalence-scenario combinations evaluated. No published, directly applicable bundled cost estimate for this setting has been identified. Because laboratory PCR and high-throughput molecular testing share identical specificity under the symmetric-performance assumption (Section 2.7), any false-positive follow-up cost would be added identically to both and cannot alter their cost difference (Section 3.3); this invariance does not extend to comparisons involving rapid antigen testing, which is assigned a different specificity range.</w:t>
      </w:r>
    </w:p>
    <w:p w14:paraId="49407F62" w14:textId="77777777" w:rsidR="003E3489" w:rsidRDefault="00405CD3">
      <w:pPr>
        <w:spacing w:after="160"/>
        <w:jc w:val="both"/>
      </w:pPr>
      <w:r>
        <w:rPr>
          <w:sz w:val="24"/>
        </w:rPr>
        <w:t>ICU costs enter as an additive component, and their materiality was tested rather than assumed. Across the plausible cost range of USD 2,000–6,000 per ICU day no strategy ranking changes, and ICU costs remain approximately 0.6–0.9% of the national-scale thresholds; bounding the unresolved utilisation inputs over their plausible ranges leaves the ICU component below 1.3% of each primary pathogen's Scenario A five-day benefit at the central rate, norovirus excepted at 5.3%, and at most 10.0% for norovirus at the top of the cost range (Section 3.10) — a share of that benefit, not an increase in it. The utilisation inputs themselves remain the weakest part of the economic model: only the influenza A/B admission fraction rests on a retrieved source population, and the remaining fractions and every length of stay are transferred estimates or assumptions, each set out with its evidence standing in Supplementary Methods S3. Sourcing the daily cost rate does not validate them. No point value was adopted for diphtheria because the one published fraction identified (21.6% among 51 hospitalised children in a single outbreak) is too narrow a base to transfer to this setting; the parameter was bounded instead, as every other unresolved input in this analysis was.</w:t>
      </w:r>
    </w:p>
    <w:p w14:paraId="49407F62" w14:textId="77777777" w:rsidR="003E3489" w:rsidRDefault="00405CD3">
      <w:pPr>
        <w:spacing w:after="160"/>
        <w:jc w:val="both"/>
      </w:pPr>
      <w:r>
        <w:rPr>
          <w:sz w:val="24"/>
        </w:rPr>
        <w:t>Test throughput is represented as a feasibility characteristic rather than an enforced constraint, likely understating the relative cost disadvantage of lower-throughput strategies. High-throughput molecular testing was parameterised using manufacturer-reported performance data (Avicena Systems Limited). The one peer-reviewed evaluation of the Sentinel/Hayat system (Dewhurst et al., 2022) reports approximately 98.7% sensitivity and 97.6% specificity, broadly consistent with the ranges used here, but its authorship included multiple Avicena-affiliated investigators, including company founders; it is not independent third-party validation, and none exists in the published literature. This was mitigated by specifying symmetric base-case performance with laboratory PCR and treating both platforms' uncertainty identically in PSA. The sponsoring organisation has a commercial interest in one of the evaluated platforms; that relationship and the safeguards applied in response are described in the Declarations.</w:t>
      </w:r>
    </w:p>
    <w:p w14:paraId="49407F62" w14:textId="77777777" w:rsidR="003E3489" w:rsidRDefault="00405CD3">
      <w:pPr>
        <w:spacing w:after="160"/>
        <w:jc w:val="both"/>
      </w:pPr>
      <w:r>
        <w:rPr>
          <w:sz w:val="24"/>
        </w:rPr>
        <w:t>The gate results are conditional on the bounding ranges over which the four unestimated aircraft-WBE parameters were swept, not estimates of real-world cost-effectiveness. Turnaround time for aircraft sampling and analysis, and the logistics of locating and testing a flagged flight's dispersed passengers within an actionable window, are not represented as constraints; a fuller operational model would need both. Portfolio aggregation weights raw lead-time benefits by pathogen-specific event and actionable-warning probabilities (</w:t>
      </w:r>
      <w:r>
        <w:rPr>
          <w:sz w:val="24"/>
        </w:rPr>
        <w:t>P</w:t>
      </w:r>
      <w:r>
        <w:rPr>
          <w:sz w:val="24"/>
          <w:vertAlign w:val="subscript"/>
        </w:rPr>
        <w:t>event</w:t>
      </w:r>
      <w:r>
        <w:rPr>
          <w:sz w:val="24"/>
        </w:rPr>
        <w:t xml:space="preserve"> and </w:t>
      </w:r>
      <w:r>
        <w:rPr>
          <w:sz w:val="24"/>
        </w:rPr>
        <w:t>P</w:t>
      </w:r>
      <w:r>
        <w:rPr>
          <w:sz w:val="24"/>
          <w:vertAlign w:val="subscript"/>
        </w:rPr>
        <w:t>warning</w:t>
      </w:r>
      <w:r>
        <w:rPr>
          <w:sz w:val="24"/>
        </w:rPr>
        <w:t>), which are scenario assumptions rather than empirical estimates, so all portfolio monetary totals and expected-deaths-averted figures are conditional on them. The analysis has not been prospectively validated against an independently observed outbreak; the face-validity assessment (Section 2.12) is a structural check only. The lead-time value analysis sets both arms' initial conditions at zero diagnostic sensitivity, so the infected-arrivals pool at t = 0 is identical, ensuring B(0) = 0 by construction rather than asserting epidemiological equilibrium.</w:t>
      </w:r>
    </w:p>
    <w:p w14:paraId="49407F84" w14:textId="77777777" w:rsidR="003E3489" w:rsidRDefault="00405CD3">
      <w:pPr>
        <w:pStyle w:val="Heading1"/>
        <w:keepNext/>
        <w:keepLines/>
        <w:spacing w:before="240" w:after="120"/>
      </w:pPr>
      <w:r>
        <w:t>5. Conclusion</w:t>
      </w:r>
    </w:p>
    <w:p w14:paraId="49407F85" w14:textId="7A7C1B82" w:rsidR="003E3489" w:rsidRDefault="00405CD3">
      <w:pPr>
        <w:spacing w:after="160"/>
        <w:jc w:val="both"/>
      </w:pPr>
      <w:r>
        <w:rPr>
          <w:sz w:val="24"/>
          <w:szCs w:val="24"/>
        </w:rPr>
        <w:t>Aircraft wastewater surveillance was evaluated in two distinct roles, and the results establish different conditions for each. Used as a gate directing follow-up testing to flagged flights, it was less consistently competitive with universal screening: favourable regions appeared only under particular combinations of aircraft-level detection probability, follow-up modality and follow-up coverage. Reducing the number of passengers tested can lower screening expenditure, but whether this offsets the consequences of missed infections depends on aircraft-level detection, follow-up coverage and testing costs.</w:t>
      </w:r>
      <w:r w:rsidR="004060A2">
        <w:rPr>
          <w:sz w:val="24"/>
          <w:szCs w:val="24"/>
        </w:rPr>
      </w:r>
      <w:r>
        <w:rPr>
          <w:sz w:val="24"/>
          <w:szCs w:val="24"/>
        </w:rPr>
      </w:r>
    </w:p>
    <w:p w14:paraId="49407F86" w14:textId="56E32C82" w:rsidR="003E3489" w:rsidRDefault="00405CD3">
      <w:pPr>
        <w:spacing w:after="160"/>
        <w:jc w:val="both"/>
      </w:pPr>
      <w:r>
        <w:rPr>
          <w:sz w:val="24"/>
          <w:szCs w:val="24"/>
        </w:rPr>
        <w:t>Used as a source of earlier warning, assessed against a different comparison, wastewater surveillance showed substantial conditional economic value. At five days of actionable warning under base probability assumptions, the maximum supportable annual expenditure on a surveillance panel for the base-case airport portfolio, excluding the avian-influenza stress test, was USD 4.92 million where warning advances arrival screening alone and USD 8.92 million where it also advances domestic countermeasures. Both are conditional ceilings given assumed event and actionable-warning probabilities, not realised savings. These findings support designing aircraft wastewater surveillance around reliable detection and a defined, timely response: five days of actionable warning supported substantial modelled expenditure, with a higher threshold when domestic countermeasures also began earlier.</w:t>
      </w:r>
      <w:r w:rsidR="004060A2">
        <w:rPr>
          <w:sz w:val="24"/>
          <w:szCs w:val="24"/>
        </w:rPr>
      </w:r>
      <w:r>
        <w:rPr>
          <w:sz w:val="24"/>
          <w:szCs w:val="24"/>
        </w:rPr>
      </w:r>
      <w:r w:rsidR="004060A2">
        <w:rPr>
          <w:sz w:val="24"/>
          <w:szCs w:val="24"/>
        </w:rPr>
      </w:r>
      <w:r>
        <w:rPr>
          <w:sz w:val="24"/>
          <w:szCs w:val="24"/>
        </w:rPr>
      </w:r>
      <w:r w:rsidR="004060A2">
        <w:rPr>
          <w:sz w:val="24"/>
          <w:szCs w:val="24"/>
        </w:rPr>
      </w:r>
      <w:r>
        <w:rPr>
          <w:sz w:val="24"/>
          <w:szCs w:val="24"/>
        </w:rPr>
      </w:r>
    </w:p>
    <w:p w14:paraId="49407F86" w14:textId="56E32C82" w:rsidR="003E3489" w:rsidRDefault="00405CD3">
      <w:pPr>
        <w:spacing w:after="160"/>
        <w:jc w:val="both"/>
      </w:pPr>
      <w:r>
        <w:rPr>
          <w:sz w:val="24"/>
          <w:szCs w:val="24"/>
        </w:rPr>
        <w:t>Our analysis indicates that gaining even a few days of actionable warning through aircraft wastewater surveillance could justify substantial annual investment. Five days of earlier intervention supported modelled surveillance expenditure in the millions of dollars, with greater value when warning also accelerated domestic countermeasures. These findings make a quantitative case for aircraft wastewater surveillance as part of an early-response system, provided that detection leads to timely and effective action.</w:t>
      </w:r>
      <w:r w:rsidR="004060A2">
        <w:rPr>
          <w:sz w:val="24"/>
          <w:szCs w:val="24"/>
        </w:rPr>
      </w:r>
      <w:r>
        <w:rPr>
          <w:sz w:val="24"/>
          <w:szCs w:val="24"/>
        </w:rPr>
      </w:r>
      <w:r w:rsidR="004060A2">
        <w:rPr>
          <w:sz w:val="24"/>
          <w:szCs w:val="24"/>
        </w:rPr>
      </w:r>
      <w:r>
        <w:rPr>
          <w:sz w:val="24"/>
          <w:szCs w:val="24"/>
        </w:rPr>
      </w:r>
      <w:r w:rsidR="004060A2">
        <w:rPr>
          <w:sz w:val="24"/>
          <w:szCs w:val="24"/>
        </w:rPr>
      </w:r>
      <w:r>
        <w:rPr>
          <w:sz w:val="24"/>
          <w:szCs w:val="24"/>
        </w:rPr>
      </w:r>
    </w:p>
    <w:p w14:paraId="49407F88" w14:textId="77777777" w:rsidR="003E3489" w:rsidRDefault="00405CD3">
      <w:pPr>
        <w:pStyle w:val="Heading1"/>
        <w:keepNext/>
        <w:keepLines/>
        <w:spacing w:before="240" w:after="120"/>
      </w:pPr>
      <w:r>
        <w:t>Declarations</w:t>
      </w:r>
    </w:p>
    <w:p w14:paraId="49407F89" w14:textId="77777777" w:rsidR="003E3489" w:rsidRDefault="00405CD3">
      <w:pPr>
        <w:pStyle w:val="Heading2"/>
        <w:keepNext/>
        <w:keepLines/>
        <w:spacing w:before="240" w:after="120"/>
      </w:pPr>
      <w:r>
        <w:t>Conflict of interest</w:t>
      </w:r>
    </w:p>
    <w:p w14:paraId="49407F8A" w14:textId="77777777" w:rsidR="003E3489" w:rsidRDefault="00405CD3">
      <w:pPr>
        <w:spacing w:after="160"/>
        <w:jc w:val="both"/>
      </w:pPr>
      <w:r>
        <w:rPr>
          <w:sz w:val="24"/>
          <w:szCs w:val="24"/>
        </w:rPr>
        <w:t>The analysis model presented in this manuscript derives from a decision-support simulator originally developed as a commercial product of Avicena Systems Limited; the high-throughput molecular-testing scenario is parameterised using performance and cost characteristics of that company's Sentinel RT-LAMP platform. [Author name/affiliation, Avicena Systems Limited] declares this relationship as a direct conflict of interest. Methodological safeguards applied in response to this conflict are described in Section 2 and Supplementary Material; they include a prespecified, fully disclosed model structure; symmetric base-case diagnostic-performance assumptions between the sponsor's platform and the laboratory PCR reference standard; identical treatment of both platforms' parameter uncertainty in probabilistic sensitivity analysis; and transparent reporting of findings unfavourable to the sponsor, including that the Sentinel RT-LAMP had the smallest favourable region of the three WBE follow-up modalities evaluated (Section 3.9). These safeguards reduce, but do not eliminate, the potential for this conflict to have influenced the analysis, and readers should weigh the results accordingly.</w:t>
      </w:r>
    </w:p>
    <w:p w14:paraId="49407F8B" w14:textId="77777777" w:rsidR="003E3489" w:rsidRDefault="00405CD3">
      <w:pPr>
        <w:pStyle w:val="Heading2"/>
        <w:keepNext/>
        <w:keepLines/>
        <w:spacing w:before="240" w:after="120"/>
      </w:pPr>
      <w:r>
        <w:t>Funding</w:t>
      </w:r>
    </w:p>
    <w:p w14:paraId="49407F8C" w14:textId="77777777" w:rsidR="003E3489" w:rsidRDefault="00405CD3">
      <w:pPr>
        <w:spacing w:after="160"/>
        <w:jc w:val="both"/>
      </w:pPr>
      <w:r>
        <w:rPr>
          <w:sz w:val="24"/>
          <w:szCs w:val="24"/>
        </w:rPr>
        <w:t>This work was supported by Avicena Systems Limited.</w:t>
      </w:r>
    </w:p>
    <w:p w14:paraId="49407F8D" w14:textId="77777777" w:rsidR="003E3489" w:rsidRDefault="00405CD3">
      <w:pPr>
        <w:pStyle w:val="Heading2"/>
        <w:keepNext/>
        <w:keepLines/>
        <w:spacing w:before="240" w:after="120"/>
      </w:pPr>
      <w:r>
        <w:t>Data and code availability</w:t>
      </w:r>
    </w:p>
    <w:p w14:paraId="49407F8E" w14:textId="77777777" w:rsidR="003E3489" w:rsidRDefault="00405CD3">
      <w:pPr>
        <w:spacing w:after="160"/>
        <w:jc w:val="both"/>
      </w:pPr>
      <w:r>
        <w:rPr>
          <w:sz w:val="24"/>
          <w:szCs w:val="24"/>
        </w:rPr>
        <w:t>The publication-analysis model code, fixed random seed, full parameter tables (with sources), and all deterministic and probabilistic result files underlying this manuscript are provided as Supplementary Material. The earlier proprietary simulator referenced in Section 2.13 is not itself available, consistent with its status as a commercial product; no numerical results in this manuscript are drawn from it.</w:t>
      </w:r>
    </w:p>
    <w:p w14:paraId="49407F8F" w14:textId="77777777" w:rsidR="003E3489" w:rsidRDefault="00405CD3">
      <w:pPr>
        <w:pStyle w:val="Heading2"/>
        <w:keepNext/>
        <w:keepLines/>
        <w:spacing w:before="240" w:after="120"/>
      </w:pPr>
      <w:r>
        <w:t>Ethics</w:t>
      </w:r>
    </w:p>
    <w:p w14:paraId="49407F90" w14:textId="77777777" w:rsidR="003E3489" w:rsidRDefault="00405CD3">
      <w:pPr>
        <w:spacing w:after="160"/>
        <w:jc w:val="both"/>
      </w:pPr>
      <w:r>
        <w:rPr>
          <w:sz w:val="24"/>
          <w:szCs w:val="24"/>
        </w:rPr>
        <w:t>Not applicable; this study used only modelled data and did not involve human participants.</w:t>
      </w:r>
    </w:p>
    <w:p w14:paraId="49407F91" w14:textId="77777777" w:rsidR="003E3489" w:rsidRDefault="00405CD3">
      <w:pPr>
        <w:pStyle w:val="Heading1"/>
        <w:keepNext/>
        <w:keepLines/>
        <w:spacing w:before="240" w:after="120"/>
      </w:pPr>
      <w:r>
        <w:t>References</w:t>
      </w:r>
    </w:p>
    <w:p w14:paraId="49407F92" w14:textId="77777777" w:rsidR="003E3489" w:rsidRDefault="00405CD3">
      <w:pPr>
        <w:spacing w:after="160"/>
        <w:jc w:val="both"/>
      </w:pPr>
      <w:r>
        <w:rPr>
          <w:sz w:val="24"/>
          <w:szCs w:val="24"/>
        </w:rPr>
        <w:t>Hufnagel L, Brockmann D, Geisel T. Forecast and control of epidemics in a globalized world. Proc Natl Acad Sci U S A. 2004;101(42):15124-15129.</w:t>
      </w:r>
    </w:p>
    <w:p w14:paraId="49407F93" w14:textId="77777777" w:rsidR="003E3489" w:rsidRDefault="00405CD3">
      <w:pPr>
        <w:spacing w:after="160"/>
        <w:jc w:val="both"/>
      </w:pPr>
      <w:r>
        <w:rPr>
          <w:sz w:val="24"/>
          <w:szCs w:val="24"/>
        </w:rPr>
        <w:t xml:space="preserve">Institute of Medicine (US) Forum on Microbial Threats. Learning from SARS: Preparing for the Next Disease Outbreak: Workshop Summary. Washington (DC): National Academies Press (US); 2004. (Global economic cost estimates for the 2003 SARS outbreak, including the U.S. </w:t>
      </w:r>
      <w:r>
        <w:rPr>
          <w:sz w:val="24"/>
          <w:szCs w:val="24"/>
        </w:rPr>
        <w:lastRenderedPageBreak/>
        <w:t>Government Accountability Office range of USD 11-18 billion for Asian economies, are summarised in this volume; other contemporary estimates in the literature range considerably higher and lower depending on model assumptions — see manuscript text for this caveat.)</w:t>
      </w:r>
    </w:p>
    <w:p w14:paraId="49407F94" w14:textId="77777777" w:rsidR="003E3489" w:rsidRDefault="00405CD3">
      <w:pPr>
        <w:spacing w:after="160"/>
        <w:jc w:val="both"/>
      </w:pPr>
      <w:r>
        <w:rPr>
          <w:sz w:val="24"/>
          <w:szCs w:val="24"/>
        </w:rPr>
        <w:t>Dawood FS, Iuliano AD, Reed C, et al. Estimated global mortality associated with the first 12 months of 2009 pandemic influenza A H1N1 virus circulation: a modelling study. Lancet Infect Dis. 2012;12(9):687-695.</w:t>
      </w:r>
    </w:p>
    <w:p w14:paraId="0FCB420A" w14:textId="77777777" w:rsidR="003E3489" w:rsidRDefault="00405CD3">
      <w:pPr>
        <w:spacing w:after="160"/>
        <w:jc w:val="both"/>
      </w:pPr>
      <w:r>
        <w:rPr>
          <w:sz w:val="24"/>
          <w:szCs w:val="24"/>
        </w:rPr>
        <w:t>Docherty AB, Harrison EM, Green CA, et al. Features of 20 133 UK patients in hospital with covid-19 using the ISARIC WHO Clinical Characterisation Protocol: prospective observational cohort study. BMJ. 2020;369:m1985.</w:t>
      </w:r>
    </w:p>
    <w:p w14:paraId="03B14098" w14:textId="77777777" w:rsidR="003E3489" w:rsidRDefault="00405CD3">
      <w:pPr>
        <w:spacing w:after="160"/>
        <w:jc w:val="both"/>
      </w:pPr>
      <w:r>
        <w:rPr>
          <w:sz w:val="24"/>
          <w:szCs w:val="24"/>
        </w:rPr>
        <w:t>Thornhill JP, Barkati S, Walmsley S, et al. Monkeypox virus infection in humans across 16 countries — April–June 2022. N Engl J Med. 2022;387(8):679-691.</w:t>
      </w:r>
    </w:p>
    <w:p w14:paraId="49407F95" w14:textId="77777777" w:rsidR="003E3489" w:rsidRDefault="00405CD3">
      <w:pPr>
        <w:spacing w:after="160"/>
        <w:jc w:val="both"/>
      </w:pPr>
      <w:r>
        <w:rPr>
          <w:sz w:val="24"/>
          <w:szCs w:val="24"/>
        </w:rPr>
        <w:t>Dinnes J, Deeks JJ, Berhane S, et al. Rapid, point-of-care antigen and molecular-based tests for diagnosis of SARS-CoV-2 infection. Cochrane Database Syst Rev. 2020;8:CD013705.</w:t>
      </w:r>
    </w:p>
    <w:p w14:paraId="49407F96" w14:textId="77777777" w:rsidR="003E3489" w:rsidRDefault="00405CD3">
      <w:pPr>
        <w:spacing w:after="160"/>
        <w:jc w:val="both"/>
      </w:pPr>
      <w:r>
        <w:rPr>
          <w:sz w:val="24"/>
          <w:szCs w:val="24"/>
        </w:rPr>
        <w:t>Dinnes J, Deeks JJ, Berhane S, et al. Rapid, point-of-care antigen tests for diagnosis of SARS-CoV-2 infection. Cochrane Database Syst Rev. 2021;3:CD013705.pub2.</w:t>
      </w:r>
    </w:p>
    <w:p w14:paraId="49407F97" w14:textId="77777777" w:rsidR="003E3489" w:rsidRDefault="00405CD3">
      <w:pPr>
        <w:spacing w:after="160"/>
        <w:jc w:val="both"/>
      </w:pPr>
      <w:r>
        <w:rPr>
          <w:sz w:val="24"/>
          <w:szCs w:val="24"/>
        </w:rPr>
        <w:t>Dewhurst RE, Heinrich T, Watt P, et al. Validation of a rapid, saliva-based, and ultra-sensitive SARS-CoV-2 screening system for pandemic-scale infection surveillance. Sci Rep. 2022;12:5936.</w:t>
      </w:r>
    </w:p>
    <w:p w14:paraId="49407F98" w14:textId="77777777" w:rsidR="003E3489" w:rsidRDefault="00405CD3">
      <w:pPr>
        <w:spacing w:after="160"/>
        <w:jc w:val="both"/>
      </w:pPr>
      <w:r>
        <w:rPr>
          <w:sz w:val="24"/>
          <w:szCs w:val="24"/>
        </w:rPr>
        <w:t>Levin AT, Hanage WP, Owusu-Boaitey N, Cochran KB, Walsh SP, Meyerowitz-Katz G. Assessing the age specificity of infection fatality rates for COVID-19: systematic review, meta-analysis, and public policy implications. Eur J Epidemiol. 2020;35(12):1123-1138.</w:t>
      </w:r>
    </w:p>
    <w:p w14:paraId="49407F99" w14:textId="77777777" w:rsidR="003E3489" w:rsidRDefault="00405CD3">
      <w:pPr>
        <w:spacing w:after="160"/>
        <w:jc w:val="both"/>
      </w:pPr>
      <w:r>
        <w:rPr>
          <w:sz w:val="24"/>
          <w:szCs w:val="24"/>
        </w:rPr>
        <w:t>Grepin KA, Aston J, Burns J. Effectiveness of international border control measures during the COVID-19 pandemic: a narrative synthesis of published systematic reviews. Philos Trans A Math Phys Eng Sci. 2023;381(2257):20230134.</w:t>
      </w:r>
    </w:p>
    <w:p w14:paraId="49407F9A" w14:textId="77777777" w:rsidR="003E3489" w:rsidRDefault="00405CD3">
      <w:pPr>
        <w:spacing w:after="160"/>
        <w:jc w:val="both"/>
      </w:pPr>
      <w:r>
        <w:rPr>
          <w:sz w:val="24"/>
          <w:szCs w:val="24"/>
        </w:rPr>
        <w:t>Li Q, Guan X, Wu P, et al. Early Transmission Dynamics in Wuhan, China, of Novel Coronavirus-Infected Pneumonia. N Engl J Med. 2020;382(13):1199-1207.</w:t>
      </w:r>
    </w:p>
    <w:p w14:paraId="49407F9B" w14:textId="77777777" w:rsidR="003E3489" w:rsidRDefault="00405CD3">
      <w:pPr>
        <w:spacing w:after="160"/>
        <w:jc w:val="both"/>
      </w:pPr>
      <w:r>
        <w:rPr>
          <w:sz w:val="24"/>
          <w:szCs w:val="24"/>
        </w:rPr>
        <w:t>Cho SY, Kang JM, Ha YE, et al. MERS-CoV outbreak following a single patient exposure in an emergency room in South Korea: an epidemiological outbreak study. Lancet. 2016;388(10048):994-1001.</w:t>
      </w:r>
    </w:p>
    <w:p w14:paraId="49407F9C" w14:textId="77777777" w:rsidR="003E3489" w:rsidRDefault="00405CD3">
      <w:pPr>
        <w:spacing w:after="160"/>
        <w:jc w:val="both"/>
      </w:pPr>
      <w:r>
        <w:rPr>
          <w:sz w:val="24"/>
          <w:szCs w:val="24"/>
        </w:rPr>
        <w:t>Fraser C, Donnelly CA, Cauchemez S, et al. Pandemic potential of a strain of influenza A (H1N1): early findings. Science. 2009;324(5934):1557-1561.</w:t>
      </w:r>
    </w:p>
    <w:p w14:paraId="49407F9D" w14:textId="77777777" w:rsidR="003E3489" w:rsidRDefault="00405CD3">
      <w:pPr>
        <w:spacing w:after="160"/>
        <w:jc w:val="both"/>
      </w:pPr>
      <w:r>
        <w:rPr>
          <w:sz w:val="24"/>
          <w:szCs w:val="24"/>
        </w:rPr>
        <w:t>World Health Organization. International Health Regulations (2005), Third Edition, as amended (WHA75.12, 2022; WHA77.17, 2024). Geneva: WHO; 2016. Available at: https://www.who.int/publications/i/item/9789241580496</w:t>
      </w:r>
    </w:p>
    <w:p w14:paraId="49407F9E" w14:textId="77777777" w:rsidR="003E3489" w:rsidRDefault="00405CD3">
      <w:pPr>
        <w:spacing w:after="160"/>
        <w:jc w:val="both"/>
      </w:pPr>
      <w:r>
        <w:rPr>
          <w:sz w:val="24"/>
          <w:szCs w:val="24"/>
        </w:rPr>
        <w:t>Pellis L, Scarabel F, Stage HB, et al. Challenges in control of COVID-19: short doubling time and long delay to effect of interventions. Philos Trans R Soc Lond B Biol Sci. 2021;376(1829):20200264. doi:10.1098/rstb.2020.0264.</w:t>
      </w:r>
    </w:p>
    <w:p w14:paraId="49407F9F" w14:textId="77777777" w:rsidR="003E3489" w:rsidRDefault="00405CD3">
      <w:pPr>
        <w:spacing w:after="160"/>
        <w:jc w:val="both"/>
      </w:pPr>
      <w:r>
        <w:rPr>
          <w:sz w:val="24"/>
          <w:szCs w:val="24"/>
        </w:rPr>
        <w:lastRenderedPageBreak/>
        <w:t>Dey T, Lee J, Chakraborty S, et al. Lag time between state-level policy interventions and change points in COVID-19 outcomes in the United States. Patterns (N Y). 2021;2(7):100306. doi:10.1016/j.patter.2021.100306.</w:t>
      </w:r>
    </w:p>
    <w:p w14:paraId="49407FA0" w14:textId="77777777" w:rsidR="003E3489" w:rsidRDefault="00405CD3">
      <w:pPr>
        <w:spacing w:after="160"/>
        <w:jc w:val="both"/>
      </w:pPr>
      <w:r>
        <w:rPr>
          <w:sz w:val="24"/>
          <w:szCs w:val="24"/>
        </w:rPr>
        <w:t>Flaxman S, Mishra S, Gandy A, et al. Estimating the effects of non-pharmaceutical interventions on COVID-19 in Europe. Nature. 2020;584(7820):257-261. doi:10.1038/s41586-020-2405-7.</w:t>
      </w:r>
    </w:p>
    <w:p w14:paraId="49407FA1" w14:textId="77777777" w:rsidR="003E3489" w:rsidRDefault="00405CD3">
      <w:pPr>
        <w:spacing w:after="160"/>
        <w:jc w:val="both"/>
      </w:pPr>
      <w:r>
        <w:rPr>
          <w:sz w:val="24"/>
          <w:szCs w:val="24"/>
        </w:rPr>
        <w:t>Kuhbandner C, Homburg S. Commentary: Estimating the effects of non-pharmaceutical interventions on COVID-19 in Europe [comment on Flaxman et al. (2020)]. Front Med (Lausanne). 2020;7:580361. doi:10.3389/fmed.2020.580361.</w:t>
      </w:r>
    </w:p>
    <w:p w14:paraId="49407FA2" w14:textId="77777777" w:rsidR="003E3489" w:rsidRDefault="00405CD3">
      <w:pPr>
        <w:spacing w:after="160"/>
        <w:jc w:val="both"/>
      </w:pPr>
      <w:r>
        <w:rPr>
          <w:sz w:val="24"/>
          <w:szCs w:val="24"/>
        </w:rPr>
        <w:t>Uansri S, Tuangratananon T, Phaiyarom M, Rajatanavin N, Suphanchaimat R, Jaruwanno W. Predicted impact of the lockdown measure in response to Coronavirus Disease 2019 in Greater Bangkok, Thailand, 2021. Int J Environ Res Public Health. 2021;18(23):12816. doi:10.3390/ijerph182312816.</w:t>
      </w:r>
    </w:p>
    <w:p w14:paraId="49407FA3" w14:textId="77777777" w:rsidR="003E3489" w:rsidRDefault="00405CD3">
      <w:pPr>
        <w:spacing w:after="160"/>
        <w:jc w:val="both"/>
      </w:pPr>
      <w:r>
        <w:rPr>
          <w:sz w:val="24"/>
          <w:szCs w:val="24"/>
        </w:rPr>
        <w:t>Reid M, Enanoria W, Stoltey J, et al. The SARS-CoV-2 pandemic: the race to trace: contact tracing scale-up in San Francisco -- early lessons learned. J Public Health Policy. 2021;42(2):211-221. doi:10.1057/s41271-021-00285-y.</w:t>
      </w:r>
    </w:p>
    <w:p w14:paraId="49407FA4" w14:textId="77777777" w:rsidR="003E3489" w:rsidRDefault="00405CD3">
      <w:pPr>
        <w:spacing w:after="160"/>
        <w:jc w:val="both"/>
      </w:pPr>
      <w:r>
        <w:rPr>
          <w:sz w:val="24"/>
          <w:szCs w:val="24"/>
        </w:rPr>
        <w:t>Westfall M, Forster M, Golston O, et al. Real world feedback: how well did the Virtual Training Academy prepare California's COVID-19 contact tracing workforce? Front Public Health. 2022;10:857674. doi:10.3389/fpubh.2022.857674.</w:t>
      </w:r>
    </w:p>
    <w:p w14:paraId="4207BB38" w14:textId="77777777" w:rsidR="003E3489" w:rsidRDefault="00405CD3">
      <w:pPr>
        <w:spacing w:after="160"/>
        <w:jc w:val="both"/>
      </w:pPr>
      <w:r>
        <w:rPr>
          <w:sz w:val="24"/>
          <w:szCs w:val="24"/>
        </w:rPr>
        <w:t>Australian Centre for Disease Control. National Wastewater Surveillance Program. Canberra: Australian Government Department of Health and Aged Care; n.d. Available at: https://www.cdc.gov.au/diseases/surveillance-systems-and-networks/national-wastewater-surveillance-program [Accessed September 2026].</w:t>
      </w:r>
    </w:p>
    <w:p w14:paraId="3DA62F6E" w14:textId="77777777" w:rsidR="003E3489" w:rsidRDefault="00405CD3">
      <w:pPr>
        <w:spacing w:after="160"/>
        <w:jc w:val="both"/>
      </w:pPr>
      <w:r>
        <w:rPr>
          <w:sz w:val="24"/>
          <w:szCs w:val="24"/>
        </w:rPr>
        <w:t>Centers for Disease Control and Prevention. About Traveler-Based Genomic Surveillance. Atlanta, GA: US Department of Health and Human Services; last reviewed 14 May 2025. Available at: https://www.cdc.gov/traveler-genomic-surveillance/about/index.html [Accessed September 2026].</w:t>
      </w:r>
    </w:p>
    <w:p w14:paraId="3DA62F6E" w14:textId="77777777" w:rsidR="003E3489" w:rsidRDefault="00405CD3">
      <w:pPr>
        <w:spacing w:after="160"/>
        <w:jc w:val="both"/>
      </w:pPr>
      <w:r>
        <w:rPr>
          <w:sz w:val="24"/>
        </w:rPr>
        <w:t>Friedman CR, Morfino RC, Ernst ET. Leveraging a strategic public-private partnership to launch an airport-based pathogen monitoring program to detect emerging health threats. Emerg Infect Dis. 2025;31(Suppl):e241407. doi:10.3201/eid3113.241407.</w:t>
      </w:r>
    </w:p>
    <w:p w14:paraId="3DA62F6E" w14:textId="77777777" w:rsidR="003E3489" w:rsidRDefault="00405CD3">
      <w:pPr>
        <w:spacing w:after="160"/>
        <w:jc w:val="both"/>
      </w:pPr>
      <w:r>
        <w:rPr>
          <w:sz w:val="24"/>
        </w:rPr>
        <w:t>Lee D-I, Kim S-H, Kim O-S. Airport and port wastewater-based infectious disease surveillance. Public Health Weekly Report. 2024;18(1):33-43. doi:10.56786/PHWR.2025.18.1.3.</w:t>
      </w:r>
    </w:p>
    <w:p w14:paraId="3DA62F6E" w14:textId="77777777" w:rsidR="003E3489" w:rsidRDefault="00405CD3">
      <w:pPr>
        <w:spacing w:after="160"/>
        <w:jc w:val="both"/>
      </w:pPr>
      <w:r>
        <w:rPr>
          <w:sz w:val="24"/>
        </w:rPr>
        <w:t>Martin A, Walker C, Sorrell E, Exum NG, Gronvall G. A scoping review of operational characteristics and public health applications of aviation wastewater surveillance. Discover Public Health. 2026;23:1434. doi:10.1186/s12982-026-02583-w.</w:t>
      </w:r>
    </w:p>
    <w:p w14:paraId="3DA62F6E" w14:textId="77777777" w:rsidR="003E3489" w:rsidRDefault="00405CD3">
      <w:pPr>
        <w:spacing w:after="160"/>
        <w:jc w:val="both"/>
      </w:pPr>
      <w:r>
        <w:rPr>
          <w:sz w:val="24"/>
        </w:rPr>
        <w:t>Shakya M, Ma KC, Hughes LJ, et al. Early detection and surveillance of the SARS-CoV-2 variant BA.3.2 -- worldwide, November 2024-February 2026. MMWR Morb Mortal Wkly Rep. 2026;75:130-137. doi:10.15585/mmwr.mm7510a1.</w:t>
      </w:r>
    </w:p>
    <w:p w14:paraId="3DA62F6E" w14:textId="77777777" w:rsidR="003E3489" w:rsidRDefault="00405CD3">
      <w:pPr>
        <w:spacing w:after="160"/>
        <w:jc w:val="both"/>
      </w:pPr>
      <w:r>
        <w:rPr>
          <w:sz w:val="24"/>
        </w:rPr>
        <w:t>European Commission. EU launches GLOWACON aviation programme to strengthen global preparedness through wastewater and environmental surveillance. Brussels: Directorate-General for Health and Food Safety; 18 September 2025. Available at: https://health.ec.europa.eu/latest-updates/eu-launches-glowacon-aviation-programme-strengthen-global-preparedness-through-wastewater-and-2025-09-18_en [Accessed September 2026].</w:t>
      </w:r>
    </w:p>
    <w:p w14:paraId="49407FA5" w14:textId="77777777" w:rsidR="003E3489" w:rsidRDefault="00405CD3">
      <w:pPr>
        <w:pStyle w:val="Heading1"/>
        <w:keepNext/>
        <w:keepLines/>
        <w:spacing w:before="240" w:after="120"/>
      </w:pPr>
      <w:r>
        <w:t>Supplementary Material</w:t>
      </w:r>
    </w:p>
    <w:p w14:paraId="49407FA7" w14:textId="063E783C" w:rsidR="003E3489" w:rsidRDefault="00405CD3" w:rsidP="004060A2">
      <w:pPr>
        <w:pStyle w:val="Heading2"/>
        <w:keepNext/>
        <w:keepLines/>
        <w:spacing w:before="240" w:after="120"/>
      </w:pPr>
      <w:r>
        <w:t>List of supplementary items</w:t>
      </w:r>
    </w:p>
    <w:p w14:paraId="36A98233" w14:textId="019E190D" w:rsidR="004060A2" w:rsidRDefault="002029C5" w:rsidP="002029C5">
      <w:hyperlink r:id="rId17" w:history="1">
        <w:r w:rsidRPr="003B1709">
          <w:rPr>
            <w:rStyle w:val="Hyperlink"/>
          </w:rPr>
          <w:t>https://github.com/kainat-hussain2913/airport-wbe-screening-manuscript</w:t>
        </w:r>
      </w:hyperlink>
      <w:r>
        <w:rPr>
          <w:sz w:val="24"/>
        </w:rPr>
        <w:t xml:space="preserve"> </w:t>
      </w:r>
    </w:p>
    <w:sectPr w:rsidR="004060A2">
      <w:footerReference w:type="default" r:id="rId18"/>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Kainat Hussain" w:date="2026-09-15T09:51:00Z" w:initials="KH">
    <w:p w14:paraId="26C72996" w14:textId="77777777" w:rsidR="004802D7" w:rsidRDefault="009F182D" w:rsidP="004802D7">
      <w:pPr>
        <w:pStyle w:val="CommentText"/>
      </w:pPr>
      <w:r>
        <w:rPr>
          <w:rStyle w:val="CommentReference"/>
        </w:rPr>
        <w:annotationRef/>
      </w:r>
      <w:r w:rsidR="004802D7">
        <w:t xml:space="preserve">Australia as an example. 2 million -&gt; 15 times that budget. Large program and then compare to the CDC program.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C7299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89511A" w16cex:dateUtc="2026-09-15T01:51:00Z">
    <w16cex:extLst>
      <w16:ext w16:uri="{CE6994B0-6A32-4C9F-8C6B-6E91EDA988CE}">
        <cr:reactions xmlns:cr="http://schemas.microsoft.com/office/comments/2020/reactions">
          <cr:reaction reactionType="1">
            <cr:reactionInfo dateUtc="2026-09-17T03:19:09Z">
              <cr:user userId="1e8c546c62b03a0e" userProvider="Windows Live" userName="Kainat Hussai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C72996" w16cid:durableId="1F8951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99D21" w14:textId="77777777" w:rsidR="00C10871" w:rsidRDefault="00C10871">
      <w:r>
        <w:separator/>
      </w:r>
    </w:p>
  </w:endnote>
  <w:endnote w:type="continuationSeparator" w:id="0">
    <w:p w14:paraId="333F0667" w14:textId="77777777" w:rsidR="00C10871" w:rsidRDefault="00C10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B435" w14:textId="23984F73" w:rsidR="00C90B7A" w:rsidRDefault="00405CD3">
    <w:pPr>
      <w:jc w:val="center"/>
    </w:pPr>
    <w:r>
      <w:fldChar w:fldCharType="begin"/>
    </w:r>
    <w:r>
      <w:instrText xml:space="preserve"> PAGE </w:instrText>
    </w:r>
    <w:r>
      <w:fldChar w:fldCharType="separate"/>
    </w:r>
    <w:r w:rsidR="00BB72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DC5D5" w14:textId="77777777" w:rsidR="00C10871" w:rsidRDefault="00C10871">
      <w:r>
        <w:separator/>
      </w:r>
    </w:p>
  </w:footnote>
  <w:footnote w:type="continuationSeparator" w:id="0">
    <w:p w14:paraId="12507B34" w14:textId="77777777" w:rsidR="00C10871" w:rsidRDefault="00C108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B1EE8"/>
    <w:multiLevelType w:val="hybridMultilevel"/>
    <w:tmpl w:val="C4FCB0E2"/>
    <w:lvl w:ilvl="0" w:tplc="3C40D93A">
      <w:start w:val="1"/>
      <w:numFmt w:val="bullet"/>
      <w:lvlText w:val="●"/>
      <w:lvlJc w:val="left"/>
      <w:pPr>
        <w:ind w:left="720" w:hanging="360"/>
      </w:pPr>
    </w:lvl>
    <w:lvl w:ilvl="1" w:tplc="1CE002CE">
      <w:start w:val="1"/>
      <w:numFmt w:val="bullet"/>
      <w:lvlText w:val="○"/>
      <w:lvlJc w:val="left"/>
      <w:pPr>
        <w:ind w:left="1440" w:hanging="360"/>
      </w:pPr>
    </w:lvl>
    <w:lvl w:ilvl="2" w:tplc="D0BE98D4">
      <w:start w:val="1"/>
      <w:numFmt w:val="bullet"/>
      <w:lvlText w:val="■"/>
      <w:lvlJc w:val="left"/>
      <w:pPr>
        <w:ind w:left="2160" w:hanging="360"/>
      </w:pPr>
    </w:lvl>
    <w:lvl w:ilvl="3" w:tplc="A7560A8A">
      <w:start w:val="1"/>
      <w:numFmt w:val="bullet"/>
      <w:lvlText w:val="●"/>
      <w:lvlJc w:val="left"/>
      <w:pPr>
        <w:ind w:left="2880" w:hanging="360"/>
      </w:pPr>
    </w:lvl>
    <w:lvl w:ilvl="4" w:tplc="A330D97E">
      <w:start w:val="1"/>
      <w:numFmt w:val="bullet"/>
      <w:lvlText w:val="○"/>
      <w:lvlJc w:val="left"/>
      <w:pPr>
        <w:ind w:left="3600" w:hanging="360"/>
      </w:pPr>
    </w:lvl>
    <w:lvl w:ilvl="5" w:tplc="72F80C38">
      <w:start w:val="1"/>
      <w:numFmt w:val="bullet"/>
      <w:lvlText w:val="■"/>
      <w:lvlJc w:val="left"/>
      <w:pPr>
        <w:ind w:left="4320" w:hanging="360"/>
      </w:pPr>
    </w:lvl>
    <w:lvl w:ilvl="6" w:tplc="3B0CB90C">
      <w:start w:val="1"/>
      <w:numFmt w:val="bullet"/>
      <w:lvlText w:val="●"/>
      <w:lvlJc w:val="left"/>
      <w:pPr>
        <w:ind w:left="5040" w:hanging="360"/>
      </w:pPr>
    </w:lvl>
    <w:lvl w:ilvl="7" w:tplc="7D78D3AE">
      <w:start w:val="1"/>
      <w:numFmt w:val="bullet"/>
      <w:lvlText w:val="●"/>
      <w:lvlJc w:val="left"/>
      <w:pPr>
        <w:ind w:left="5760" w:hanging="360"/>
      </w:pPr>
    </w:lvl>
    <w:lvl w:ilvl="8" w:tplc="54F47F9A">
      <w:start w:val="1"/>
      <w:numFmt w:val="bullet"/>
      <w:lvlText w:val="●"/>
      <w:lvlJc w:val="left"/>
      <w:pPr>
        <w:ind w:left="6480" w:hanging="360"/>
      </w:pPr>
    </w:lvl>
  </w:abstractNum>
  <w:num w:numId="1" w16cid:durableId="137330960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inat Hussain">
    <w15:presenceInfo w15:providerId="Windows Live" w15:userId="1e8c546c62b03a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489"/>
    <w:rsid w:val="0001537A"/>
    <w:rsid w:val="000D0C27"/>
    <w:rsid w:val="002029C5"/>
    <w:rsid w:val="002404C6"/>
    <w:rsid w:val="002B58B3"/>
    <w:rsid w:val="003E3489"/>
    <w:rsid w:val="00405CD3"/>
    <w:rsid w:val="004060A2"/>
    <w:rsid w:val="0045171D"/>
    <w:rsid w:val="004802D7"/>
    <w:rsid w:val="005F1D5A"/>
    <w:rsid w:val="005F6375"/>
    <w:rsid w:val="00626FB1"/>
    <w:rsid w:val="006415CF"/>
    <w:rsid w:val="00651D95"/>
    <w:rsid w:val="00685D07"/>
    <w:rsid w:val="00755E79"/>
    <w:rsid w:val="00770FE3"/>
    <w:rsid w:val="00862D67"/>
    <w:rsid w:val="0088764A"/>
    <w:rsid w:val="008E5BD3"/>
    <w:rsid w:val="0091423C"/>
    <w:rsid w:val="00924C00"/>
    <w:rsid w:val="009366D1"/>
    <w:rsid w:val="009708F5"/>
    <w:rsid w:val="009F182D"/>
    <w:rsid w:val="00A266B2"/>
    <w:rsid w:val="00A91B9E"/>
    <w:rsid w:val="00AE6ACF"/>
    <w:rsid w:val="00B018D2"/>
    <w:rsid w:val="00B06731"/>
    <w:rsid w:val="00B36281"/>
    <w:rsid w:val="00B462F7"/>
    <w:rsid w:val="00B603E3"/>
    <w:rsid w:val="00B762F2"/>
    <w:rsid w:val="00BB7245"/>
    <w:rsid w:val="00BF2EF7"/>
    <w:rsid w:val="00C10871"/>
    <w:rsid w:val="00C2269A"/>
    <w:rsid w:val="00C777B4"/>
    <w:rsid w:val="00C90B7A"/>
    <w:rsid w:val="00CD3826"/>
    <w:rsid w:val="00D15497"/>
    <w:rsid w:val="00D24287"/>
    <w:rsid w:val="00E1021E"/>
    <w:rsid w:val="00E4770D"/>
    <w:rsid w:val="00E95808"/>
    <w:rsid w:val="00EC119F"/>
    <w:rsid w:val="00ED79E1"/>
    <w:rsid w:val="00F51E1A"/>
    <w:rsid w:val="00F941FD"/>
    <w:rsid w:val="00FD68EF"/>
    <w:rsid w:val="00FE0B3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07DF0"/>
  <w15:docId w15:val="{9FAA41C1-3DCC-41D1-9FD4-F2F4D9E1F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FE0B37"/>
    <w:pPr>
      <w:spacing w:after="200"/>
    </w:pPr>
    <w:rPr>
      <w:i/>
      <w:iCs/>
      <w:color w:val="0E2841" w:themeColor="text2"/>
      <w:sz w:val="18"/>
      <w:szCs w:val="18"/>
    </w:rPr>
  </w:style>
  <w:style w:type="character" w:styleId="CommentReference">
    <w:name w:val="annotation reference"/>
    <w:basedOn w:val="DefaultParagraphFont"/>
    <w:uiPriority w:val="99"/>
    <w:semiHidden/>
    <w:unhideWhenUsed/>
    <w:rsid w:val="00F51E1A"/>
    <w:rPr>
      <w:sz w:val="16"/>
      <w:szCs w:val="16"/>
    </w:rPr>
  </w:style>
  <w:style w:type="paragraph" w:styleId="CommentText">
    <w:name w:val="annotation text"/>
    <w:basedOn w:val="Normal"/>
    <w:link w:val="CommentTextChar"/>
    <w:uiPriority w:val="99"/>
    <w:unhideWhenUsed/>
    <w:rsid w:val="00F51E1A"/>
  </w:style>
  <w:style w:type="character" w:customStyle="1" w:styleId="CommentTextChar">
    <w:name w:val="Comment Text Char"/>
    <w:basedOn w:val="DefaultParagraphFont"/>
    <w:link w:val="CommentText"/>
    <w:uiPriority w:val="99"/>
    <w:rsid w:val="00F51E1A"/>
  </w:style>
  <w:style w:type="paragraph" w:styleId="CommentSubject">
    <w:name w:val="annotation subject"/>
    <w:basedOn w:val="CommentText"/>
    <w:next w:val="CommentText"/>
    <w:link w:val="CommentSubjectChar"/>
    <w:uiPriority w:val="99"/>
    <w:semiHidden/>
    <w:unhideWhenUsed/>
    <w:rsid w:val="00F51E1A"/>
    <w:rPr>
      <w:b/>
      <w:bCs/>
    </w:rPr>
  </w:style>
  <w:style w:type="character" w:customStyle="1" w:styleId="CommentSubjectChar">
    <w:name w:val="Comment Subject Char"/>
    <w:basedOn w:val="CommentTextChar"/>
    <w:link w:val="CommentSubject"/>
    <w:uiPriority w:val="99"/>
    <w:semiHidden/>
    <w:rsid w:val="00F51E1A"/>
    <w:rPr>
      <w:b/>
      <w:bCs/>
    </w:rPr>
  </w:style>
  <w:style w:type="character" w:styleId="PlaceholderText">
    <w:name w:val="Placeholder Text"/>
    <w:basedOn w:val="DefaultParagraphFont"/>
    <w:uiPriority w:val="99"/>
    <w:semiHidden/>
    <w:rsid w:val="00B462F7"/>
    <w:rPr>
      <w:color w:val="666666"/>
    </w:rPr>
  </w:style>
  <w:style w:type="character" w:styleId="UnresolvedMention">
    <w:name w:val="Unresolved Mention"/>
    <w:basedOn w:val="DefaultParagraphFont"/>
    <w:uiPriority w:val="99"/>
    <w:semiHidden/>
    <w:unhideWhenUsed/>
    <w:rsid w:val="00202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github.com/kainat-hussain2913/airport-wbe-screening-manuscript" TargetMode="External"/><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14326-CFB9-4C1E-BC1D-987F953DB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33</Pages>
  <Words>14268</Words>
  <Characters>90034</Characters>
  <Application>Microsoft Office Word</Application>
  <DocSecurity>0</DocSecurity>
  <Lines>1385</Lines>
  <Paragraphs>453</Paragraphs>
  <ScaleCrop>false</ScaleCrop>
  <Company/>
  <LinksUpToDate>false</LinksUpToDate>
  <CharactersWithSpaces>103849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Airport WBE Surveillance — Edited Manuscript</dc:title>
  <dc:creator>Manuscript review pipeline</dc:creator>
  <cp:lastModifiedBy>Kainat Hussain</cp:lastModifiedBy>
  <cp:revision>49</cp:revision>
  <dcterms:created xsi:type="dcterms:W3CDTF">2026-09-14T09:56:00Z</dcterms:created>
  <dcterms:modified xsi:type="dcterms:W3CDTF">2026-09-17T03:46:00Z</dcterms:modified>
</cp:coreProperties>
</file>