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Practice Report: Personalized Product Recommendation System for an E-commerce Platform</w:t>
      </w:r>
    </w:p>
    <w:p>
      <w:pPr>
        <w:jc w:val="center"/>
      </w:pPr>
      <w:r>
        <w:rPr>
          <w:i/>
          <w:iCs/>
        </w:rPr>
        <w:t xml:space="preserve">Student: Wang Fang   Industry Mentor: Liu Qiang   Host Company: Hangzhou Yunshang E-commerce Technology Co., Ltd.</w:t>
      </w:r>
    </w:p>
    <w:p/>
    <w:p>
      <w:pPr>
        <w:pStyle w:val="Heading1"/>
      </w:pPr>
      <w:r>
        <w:t xml:space="preserve">1. Background and Research Problem</w:t>
      </w:r>
    </w:p>
    <w:p>
      <w:r>
        <w:t xml:space="preserve">The host company operates a mid-sized e-commerce platform with approximately 2.3 million monthly active users and a catalog of over 180,000 SKUs. Prior to this project, product recommendations on the homepage and product-detail pages were generated using a simple rule-based system (best-sellers within category), which the marketing team identified as a key factor behind a stagnant click-through rate (CTR) of 2.1% on recommendation widgets, well below the industry benchmark of 3.5-4.5% cited in the company's quarterly product review. This project's goal was to design and deploy a personalized recommendation system that leverages user behavioral data (views, cart-adds, purchases) to increase recommendation relevance and, ultimately, CTR and conversion.</w:t>
      </w:r>
    </w:p>
    <w:p>
      <w:pPr>
        <w:pStyle w:val="Heading1"/>
      </w:pPr>
      <w:r>
        <w:t xml:space="preserve">2. Technical Route</w:t>
      </w:r>
    </w:p>
    <w:p>
      <w:r>
        <w:t xml:space="preserve">The system was designed as a hybrid recommender combining two components:</w:t>
      </w:r>
    </w:p>
    <w:p>
      <w:pPr>
        <w:pStyle w:val="ListParagraph"/>
        <w:numPr>
          <w:ilvl w:val="0"/>
          <w:numId w:val="1"/>
        </w:numPr>
      </w:pPr>
      <w:r>
        <w:t xml:space="preserve">(1) Collaborative filtering: a matrix-factorization model (implicit ALS, via the 'implicit' Python library) trained on 14 months of historical interaction data (views weighted 1x, cart-adds 3x, purchases 5x), producing latent user and item embeddings of dimension 64.</w:t>
      </w:r>
    </w:p>
    <w:p>
      <w:pPr>
        <w:pStyle w:val="ListParagraph"/>
        <w:numPr>
          <w:ilvl w:val="0"/>
          <w:numId w:val="1"/>
        </w:numPr>
      </w:pPr>
      <w:r>
        <w:t xml:space="preserve">(2) Content-based re-ranking: a lightweight gradient-boosted model (LightGBM) that re-ranks the top-200 collaborative-filtering candidates using item metadata features (category, price bracket, brand, recency) and user-level features (average order value, category affinity vector), to address the cold-start problem for newly listed products.</w:t>
      </w:r>
    </w:p>
    <w:p>
      <w:r>
        <w:t xml:space="preserve">The two-stage pipeline (candidate generation via ALS, followed by LightGBM re-ranking) was chosen specifically because pure collaborative filtering underperforms on items with fewer than 20 historical interactions, which accounted for 34% of the active catalog at the time of the study - a gap the content-based re-ranking stage was designed to close.</w:t>
      </w:r>
    </w:p>
    <w:p>
      <w:r>
        <w:t xml:space="preserve">The system was implemented in Python, with model training orchestrated via Apache Airflow (daily retraining), embeddings served through a Redis-backed feature store, and final recommendations exposed via a low-latency FastAPI microservice with a p99 latency budget of 80ms.</w:t>
      </w:r>
    </w:p>
    <w:p>
      <w:pPr>
        <w:pStyle w:val="Heading1"/>
      </w:pPr>
      <w:r>
        <w:t xml:space="preserve">3. Experiments and Results</w:t>
      </w:r>
    </w:p>
    <w:p>
      <w:r>
        <w:t xml:space="preserve">Offline evaluation was conducted on a held-out 14-day window of interaction logs (approximately 4.8 million events), using Recall@20 and NDCG@20 as primary metrics. The hybrid model achieved Recall@20 of 0.187 and NDCG@20 of 0.142, compared to 0.098 and 0.071 respectively for the existing rule-based baseline - improvements of 91% and 100% respectively.</w:t>
      </w:r>
    </w:p>
    <w:p>
      <w:r>
        <w:t xml:space="preserve">A two-week online A/B test was subsequently run on 15% of platform traffic (approximately 345,000 users in the treatment group). The treatment group showed a CTR of 3.4% on recommendation widgets, versus 2.2% in the control group (a 55% relative improvement), and a 12% increase in attributed revenue per session. The difference in CTR was statistically significant (p &lt; 0.001, two-proportion z-test).</w:t>
      </w:r>
    </w:p>
    <w:p>
      <w:r>
        <w:t xml:space="preserve">Latency monitoring during the A/B test showed a p99 response time of 76ms, within the 80ms budget, with 99.97% of requests served successfully during the test window.</w:t>
      </w:r>
    </w:p>
    <w:p>
      <w:pPr>
        <w:pStyle w:val="Heading1"/>
      </w:pPr>
      <w:r>
        <w:t xml:space="preserve">4. Deployment and Feasibility Considerations</w:t>
      </w:r>
    </w:p>
    <w:p>
      <w:r>
        <w:t xml:space="preserve">Full production rollout was planned in three phases: (1) a 15% traffic ramp for two weeks (the A/B test itself), (2) a 50% ramp for one week with continuous monitoring of CTR, latency, and error rate dashboards, and (3) full rollout, contingent on no regression in the monitored metrics. The team also defined a rollback plan: if p99 latency exceeded 150ms for more than 10 consecutive minutes, or CTR dropped below the control-group baseline, the system would automatically fall back to the rule-based recommender via a feature-flag toggle, without requiring a code deployment. Daily retraining was scoped to complete within a 3-hour nightly batch window to avoid overlapping with peak traffic hours.</w:t>
      </w:r>
    </w:p>
    <w:p>
      <w:pPr>
        <w:pStyle w:val="Heading1"/>
      </w:pPr>
      <w:r>
        <w:t xml:space="preserve">5. Conclusions</w:t>
      </w:r>
    </w:p>
    <w:p>
      <w:r>
        <w:t xml:space="preserve">The hybrid collaborative-filtering and content-based re-ranking system significantly outperformed the existing rule-based baseline on both offline ranking metrics and live business metrics (CTR and revenue per session), while meeting the platform's latency requirements. Future work includes extending the content-based features with product image embeddings and evaluating a two-tower neural retrieval model as a potential replacement for the ALS candidate-generation stage.</w:t>
      </w:r>
    </w:p>
    <w:p>
      <w:pPr>
        <w:pStyle w:val="Heading1"/>
      </w:pPr>
      <w:r>
        <w:t xml:space="preserve">6. Innovation Points</w:t>
      </w:r>
    </w:p>
    <w:p>
      <w:pPr>
        <w:pStyle w:val="ListParagraph"/>
        <w:numPr>
          <w:ilvl w:val="0"/>
          <w:numId w:val="1"/>
        </w:numPr>
      </w:pPr>
      <w:r>
        <w:t xml:space="preserve">- A two-stage hybrid architecture specifically designed to address the cold-start problem identified in this company's catalog (34% of items with sparse interaction history), rather than adopting a generic single-model recommender.</w:t>
      </w:r>
    </w:p>
    <w:p>
      <w:pPr>
        <w:pStyle w:val="ListParagraph"/>
        <w:numPr>
          <w:ilvl w:val="0"/>
          <w:numId w:val="1"/>
        </w:numPr>
      </w:pPr>
      <w:r>
        <w:t xml:space="preserve">- An automated feature-flag-based rollback mechanism tied to real-time latency and CTR thresholds, allowing safe, gradual production rollout without manual intervention during off-hours.</w:t>
      </w:r>
    </w:p>
    <w:p>
      <w:pPr>
        <w:pStyle w:val="ListParagraph"/>
        <w:numPr>
          <w:ilvl w:val="0"/>
          <w:numId w:val="1"/>
        </w:numPr>
      </w:pPr>
      <w:r>
        <w:t xml:space="preserve">- A staged traffic-ramp deployment plan (15% -&gt; 50% -&gt; 100%) with explicit go/no-go criteria at each stage, developed in collaboration with the platform's SRE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2026-09-29T04:17:55.984Z</dcterms:created>
  <dcterms:modified xsi:type="dcterms:W3CDTF">2026-09-29T04:17:55.994Z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