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Practice Report: Real-Time Fraud Detection System for a Digital Payments Platform</w:t>
      </w:r>
    </w:p>
    <w:p>
      <w:pPr>
        <w:jc w:val="center"/>
      </w:pPr>
      <w:r>
        <w:rPr>
          <w:i/>
          <w:iCs/>
        </w:rPr>
        <w:t xml:space="preserve">Student: Zhao Min   Industry Mentor: Chen Wei   Host Company: Shanghai Zhifu Payment Technology Co., Ltd.</w:t>
      </w:r>
    </w:p>
    <w:p/>
    <w:p>
      <w:pPr>
        <w:pStyle w:val="Heading1"/>
      </w:pPr>
      <w:r>
        <w:t xml:space="preserve">1. Background and Research Problem</w:t>
      </w:r>
    </w:p>
    <w:p>
      <w:r>
        <w:t xml:space="preserve">The host company operates a third-party digital payments platform processing approximately 4.6 million transactions per day across retail, peer-to-peer transfer, and merchant-settlement use cases. Prior to this project, fraud detection relied on a static rules engine (approximately 120 hand-tuned rules covering velocity checks, blacklist matching, and geolocation mismatches) maintained by the risk operations team. Internal audit data from the quarter preceding this project showed the rules engine achieved a fraud-catch rate of 61% (measured against confirmed-fraud chargebacks) while generating a false-positive rate of 4.2% on legitimate transactions, each of which required manual review, costing the risk team an estimated 340 analyst-hours per week.</w:t>
      </w:r>
    </w:p>
    <w:p>
      <w:r>
        <w:t xml:space="preserve">The rules engine's core limitation was its inability to adapt to new fraud patterns without manual rule authoring, which typically lagged emerging fraud rings by 2-3 weeks based on the risk team's incident log. This project's objective was to design, train, and deploy a machine-learning-based fraud scoring model that could be integrated into the existing transaction pipeline to improve the fraud-catch rate while reducing the false-positive burden on manual reviewers, without exceeding the platform's existing 150-millisecond transaction authorization budget.</w:t>
      </w:r>
    </w:p>
    <w:p>
      <w:pPr>
        <w:pStyle w:val="Heading1"/>
      </w:pPr>
      <w:r>
        <w:t xml:space="preserve">2. Related Approaches Considered</w:t>
      </w:r>
    </w:p>
    <w:p>
      <w:r>
        <w:t xml:space="preserve">Three modeling approaches were evaluated during the initial design phase. A pure supervised-learning approach (gradient-boosted trees on labeled historical fraud cases) was attractive for its interpretability and fast inference, but historical labels were sparse and delayed (confirmed fraud labels typically arrived 30-90 days after a transaction, via chargeback disputes), limiting the freshness of any purely supervised model. A pure unsupervised anomaly-detection approach (isolation forests on transaction embeddings) required no labels but produced a high volume of anomalies unrelated to fraud (flagging legitimate but unusual purchases, such as first-time large purchases), which internal testing showed would have increased the false-positive rate beyond an acceptable threshold. A graph-based approach modeling the network of accounts, devices, and payment instruments was considered for its ability to catch coordinated fraud rings, but was assessed as too complex to implement and validate within the project timeline given the team's existing infrastructure.</w:t>
      </w:r>
    </w:p>
    <w:p>
      <w:r>
        <w:t xml:space="preserve">Based on this evaluation, the project adopted a hybrid approach: a supervised gradient-boosted model as the primary scoring mechanism, augmented with unsupervised anomaly features (rather than a separate anomaly-detection model) as additional inputs, and a lightweight subset of the existing rules engine retained as hard-block guardrails for confirmed high-confidence fraud patterns (e.g., exact blacklist matches).</w:t>
      </w:r>
    </w:p>
    <w:p>
      <w:pPr>
        <w:pStyle w:val="Heading1"/>
      </w:pPr>
      <w:r>
        <w:t xml:space="preserve">3. Technical Route</w:t>
      </w:r>
    </w:p>
    <w:p>
      <w:pPr>
        <w:pStyle w:val="Heading2"/>
      </w:pPr>
      <w:r>
        <w:t xml:space="preserve">3.1 Data Pipeline</w:t>
      </w:r>
    </w:p>
    <w:p>
      <w:r>
        <w:t xml:space="preserve">Transaction events are streamed from the payment gateway via Kafka into a feature-computation service built on Apache Flink, which maintains rolling aggregates (transaction counts and amounts over 1-hour, 24-hour, and 7-day windows, per account and per device fingerprint) in a low-latency key-value store (Redis) to support real-time feature lookups during scoring.</w:t>
      </w:r>
    </w:p>
    <w:p>
      <w:pPr>
        <w:pStyle w:val="Heading2"/>
      </w:pPr>
      <w:r>
        <w:t xml:space="preserve">3.2 Feature Engineering</w:t>
      </w:r>
    </w:p>
    <w:p>
      <w:r>
        <w:t xml:space="preserve">The model consumes 87 features across four categories: transaction-level features (amount, merchant category code, time-of-day, cross-border flag), account-history features (account age, average transaction amount over the trailing 90 days, prior chargeback count), velocity features (the rolling aggregates described above), and network features (device-sharing count across accounts, IP-address reuse frequency). Velocity and network features were identified during exploratory analysis as the two categories with the highest individual feature importance in preliminary model runs.</w:t>
      </w:r>
    </w:p>
    <w:p>
      <w:pPr>
        <w:pStyle w:val="Heading2"/>
      </w:pPr>
      <w:r>
        <w:t xml:space="preserve">3.3 Model Architecture and Training</w:t>
      </w:r>
    </w:p>
    <w:p>
      <w:r>
        <w:t xml:space="preserve">The primary model is a LightGBM gradient-boosted classifier trained on 18 months of labeled transaction data (approximately 620 million transactions, with a fraud prevalence of 0.31%). To address class imbalance, the training set was constructed using a combination of class-weighting and negative-example downsampling (retaining all fraud-labeled transactions and a random 10% sample of legitimate transactions, with class weights adjusted accordingly at training time). Hyperparameters (tree depth, learning rate, number of leaves) were tuned via a Bayesian optimization search over 150 trials, evaluated on a time-based validation split (the final 60 days of the training window) to avoid temporal leakage.</w:t>
      </w:r>
    </w:p>
    <w:p>
      <w:pPr>
        <w:pStyle w:val="Heading2"/>
      </w:pPr>
      <w:r>
        <w:t xml:space="preserve">3.4 Serving Infrastructure</w:t>
      </w:r>
    </w:p>
    <w:p>
      <w:r>
        <w:t xml:space="preserve">The trained model is served via a dedicated inference microservice (built with FastAPI and ONNX Runtime for optimized inference), deployed behind the existing transaction-authorization gateway. Feature retrieval from Redis and model inference together were required to complete within a 40-millisecond budget, leaving headroom within the platform's overall 150-millisecond authorization window for the remaining pipeline steps (payment network communication, guardrail rule evaluation, and response assembly).</w:t>
      </w:r>
    </w:p>
    <w:p>
      <w:pPr>
        <w:pStyle w:val="Heading1"/>
      </w:pPr>
      <w:r>
        <w:t xml:space="preserve">4. Experiments and Results</w:t>
      </w:r>
    </w:p>
    <w:p>
      <w:pPr>
        <w:pStyle w:val="Heading2"/>
      </w:pPr>
      <w:r>
        <w:t xml:space="preserve">4.1 Offline Evaluation</w:t>
      </w:r>
    </w:p>
    <w:p>
      <w:r>
        <w:t xml:space="preserve">The model was evaluated on a held-out test set spanning the 60 days immediately following the training window (approximately 82 million transactions), using precision-recall AUC (PR-AUC) as the primary offline metric due to the severe class imbalance. The final model achieved a PR-AUC of 0.71, compared to 0.34 for the existing rules engine when its rule outputs were treated as a binary classifier over the same test window. At a decision threshold calibrated to match the rules engine's existing false-positive rate of 4.2%, the model achieved a fraud-catch rate of 84%, compared to the rules engine's 61% on the same test set - an absolute improvement of 23 percentage points.</w:t>
      </w:r>
    </w:p>
    <w:p>
      <w:pPr>
        <w:pStyle w:val="Heading2"/>
      </w:pPr>
      <w:r>
        <w:t xml:space="preserve">4.2 Online A/B Test</w:t>
      </w:r>
    </w:p>
    <w:p>
      <w:r>
        <w:t xml:space="preserve">A four-week online A/B test was conducted on 20% of platform traffic (approximately 920,000 transactions per day in the treatment group), with the treatment group scored by the new model (routed to manual review above a calibrated threshold) and the control group continuing to use the existing rules engine. Confirmed-fraud outcomes were reconciled 90 days after the test period to allow chargeback labels to mature. The treatment group showed a fraud-catch rate of 79% (slightly lower than the offline estimate, attributed to concept drift and the shorter reconciliation window relative to the offline test) versus 60% in the control group, while the false-positive rate remained within 0.3 percentage points of the control group's baseline (4.4% versus 4.2%).</w:t>
      </w:r>
    </w:p>
    <w:p>
      <w:pPr>
        <w:pStyle w:val="Heading2"/>
      </w:pPr>
      <w:r>
        <w:t xml:space="preserve">4.3 Latency Benchmarking</w:t>
      </w:r>
    </w:p>
    <w:p>
      <w:r>
        <w:t xml:space="preserve">Production latency monitoring during the A/B test showed a p50 inference latency (feature retrieval plus model scoring) of 18 milliseconds and a p99 latency of 37 milliseconds, within the 40-millisecond budget. End-to-end transaction authorization latency (including the new fraud-scoring step) increased by a p99 of 12 milliseconds relative to the pre-project baseline, remaining within the platform's overall 150-millisecond authorization requirement.</w:t>
      </w:r>
    </w:p>
    <w:p>
      <w:pPr>
        <w:pStyle w:val="Heading2"/>
      </w:pPr>
      <w:r>
        <w:t xml:space="preserve">4.4 Ablation Study</w:t>
      </w:r>
    </w:p>
    <w:p>
      <w:r>
        <w:t xml:space="preserve">An ablation study was conducted to quantify the contribution of each feature category by retraining the model with each category removed in turn. Removing velocity features caused the largest PR-AUC drop (from 0.71 to 0.58), confirming their importance identified during exploratory analysis. Removing network features caused a smaller but still significant drop (to 0.65), while removing account-history features caused the smallest drop (to 0.69), suggesting this category contributes comparatively less unique signal beyond what is captured by the other three categories.</w:t>
      </w:r>
    </w:p>
    <w:p>
      <w:pPr>
        <w:pStyle w:val="Heading1"/>
      </w:pPr>
      <w:r>
        <w:t xml:space="preserve">5. Deployment and Feasibility Considerations</w:t>
      </w:r>
    </w:p>
    <w:p>
      <w:r>
        <w:t xml:space="preserve">Production rollout followed a three-phase plan mirroring the A/B test structure: an initial 20% traffic ramp (the A/B test itself, four weeks), a 60% ramp for two weeks with continuous monitoring of fraud-catch rate, false-positive rate, and latency dashboards, and full rollout contingent on no regression in these monitored metrics. A rollback mechanism was implemented via a feature flag allowing the risk operations team to revert to the rules-engine-only scoring path within minutes, without a code deployment, should the model's false-positive rate exceed 5.5% (a threshold set with the risk operations lead) for more than 30 consecutive minutes. Model retraining was scheduled on a monthly cadence to address concept drift observed during the A/B test, with each retrained model required to pass the same offline PR-AUC threshold (at least 0.65) on a held-out validation set before being considered for promotion to production.</w:t>
      </w:r>
    </w:p>
    <w:p>
      <w:r>
        <w:t xml:space="preserve">A key feasibility risk identified during planning was the dependency on the Redis-based feature store during peak traffic (the platform's Lunar New Year shopping period sees a 6x traffic spike relative to typical days). Load testing was conducted at 8x normal traffic volume, and the feature-computation pipeline maintained p99 feature-retrieval latency under 25 milliseconds throughout, providing headroom above the observed peak. A fallback path was also implemented: if the feature store becomes unavailable, transactions are automatically routed to the guardrail rules engine only, ensuring the payment platform remains available (at reduced fraud-detection accuracy) rather than failing transactions outright.</w:t>
      </w:r>
    </w:p>
    <w:p>
      <w:pPr>
        <w:pStyle w:val="Heading1"/>
      </w:pPr>
      <w:r>
        <w:t xml:space="preserve">6. Risk Analysis and Mitigations</w:t>
      </w:r>
    </w:p>
    <w:p>
      <w:r>
        <w:t xml:space="preserve">A structured risk assessment was conducted jointly with the risk operations team and the platform's security engineering group prior to full rollout. Four primary risks were identified. First, adversarial adaptation: sophisticated fraud rings could probe the model's decision boundary through small-value test transactions before attempting larger fraudulent transfers. This was mitigated by retaining velocity-based guardrail rules (which are harder to probe without triggering a hard block) alongside the model score, and by monitoring for unusual patterns of near-threshold transactions from the same device fingerprint. Second, feature staleness during Redis maintenance windows: scheduled maintenance could cause rolling aggregates to fall behind, degrading velocity-feature accuracy; this was mitigated by having the feature-computation service expose a staleness timestamp per account, which the scoring service uses to fall back to a wider, less time-sensitive feature set when staleness exceeds two minutes. Third, model bias against legitimate but unusual account behavior (for example, students studying abroad making frequent cross-border transactions); a fairness audit was conducted comparing false-positive rates across account segments defined by account age and transaction geography, and no segment showed a false-positive rate more than 1.1 times the platform-wide average, which the risk operations lead assessed as within acceptable bounds. Fourth, single-point-of-failure risk in the inference microservice; this was mitigated by deploying the service across three availability zones with automatic failover, tested via a scheduled chaos-engineering exercise that terminated the primary instance during a controlled maintenance window without measurable impact on transaction authorization latency.</w:t>
      </w:r>
    </w:p>
    <w:p>
      <w:pPr>
        <w:pStyle w:val="Heading1"/>
      </w:pPr>
      <w:r>
        <w:t xml:space="preserve">7. Monitoring and Alerting</w:t>
      </w:r>
    </w:p>
    <w:p>
      <w:r>
        <w:t xml:space="preserve">A monitoring dashboard was built on the company's existing Grafana infrastructure, tracking five categories of metrics in real time: model score distribution (to detect drift in the shape of incoming score distributions, which could indicate either data pipeline issues or a shift in fraud patterns), fraud-catch rate and false-positive rate (computed on a rolling basis using the subset of transactions with mature chargeback labels), p50/p95/p99 inference latency, feature-store staleness, and guardrail-rule trigger volume. Alert thresholds were configured in collaboration with the on-call risk operations engineer: a PagerDuty alert fires if p99 latency exceeds 45 milliseconds for more than five minutes, if the rolling false-positive rate exceeds 5.5% for more than thirty minutes, or if feature-store staleness exceeds two minutes for any account segment representing more than 1% of traffic. During the first month of full production rollout, this alerting configuration correctly flagged a brief feature-store staleness incident caused by an unrelated infrastructure migration, allowing the on-call engineer to confirm the automatic fallback path was functioning correctly before the staleness window closed on its own.</w:t>
      </w:r>
    </w:p>
    <w:p>
      <w:pPr>
        <w:pStyle w:val="Heading1"/>
      </w:pPr>
      <w:r>
        <w:t xml:space="preserve">8. Cost and Resource Considerations</w:t>
      </w:r>
    </w:p>
    <w:p>
      <w:r>
        <w:t xml:space="preserve">The inference microservice and its supporting Redis feature store were provisioned on the company's existing Kubernetes cluster rather than dedicated hardware, using autoscaling rules tied to transaction volume to keep infrastructure cost proportional to traffic. Estimated incremental monthly infrastructure cost for the new fraud-scoring pipeline (compute, Redis memory, and Kafka throughput) was approximately 18,000 RMB at the traffic levels observed during the A/B test, which the finance team compared against the estimated 260,000 RMB in monthly chargeback losses prevented by the improved fraud-catch rate, yielding a payback period well within the first month of full production operation. Ongoing costs also include approximately 4 engineer-hours per month for monitoring the monthly retraining pipeline and reviewing model-promotion gate results before each retrained model is approved for production.</w:t>
      </w:r>
    </w:p>
    <w:p>
      <w:pPr>
        <w:pStyle w:val="Heading1"/>
      </w:pPr>
      <w:r>
        <w:t xml:space="preserve">9. Conclusions</w:t>
      </w:r>
    </w:p>
    <w:p>
      <w:r>
        <w:t xml:space="preserve">The hybrid gradient-boosted fraud-scoring model significantly outperformed the existing static rules engine on both offline and live A/B test metrics, improving the fraud-catch rate by roughly 19-23 percentage points depending on measurement window, while keeping the false-positive rate and transaction-authorization latency within acceptable operational bounds. The phased rollout plan and rollback mechanism were designed collaboratively with the risk operations team to ensure operational safety during full production deployment.</w:t>
      </w:r>
    </w:p>
    <w:p>
      <w:pPr>
        <w:pStyle w:val="Heading1"/>
      </w:pPr>
      <w:r>
        <w:t xml:space="preserve">10. Innovation Points</w:t>
      </w:r>
    </w:p>
    <w:p>
      <w:pPr>
        <w:pStyle w:val="ListParagraph"/>
        <w:numPr>
          <w:ilvl w:val="0"/>
          <w:numId w:val="1"/>
        </w:numPr>
      </w:pPr>
      <w:r>
        <w:t xml:space="preserve">A hybrid architecture combining supervised gradient-boosted scoring with unsupervised-derived anomaly features as model inputs, rather than maintaining anomaly detection as a separate, hard-to-reconcile scoring path - directly motivated by the label sparsity and high false-positive rate observed when each approach was evaluated independently.</w:t>
      </w:r>
    </w:p>
    <w:p>
      <w:pPr>
        <w:pStyle w:val="ListParagraph"/>
        <w:numPr>
          <w:ilvl w:val="0"/>
          <w:numId w:val="1"/>
        </w:numPr>
      </w:pPr>
      <w:r>
        <w:t xml:space="preserve">A monthly retraining cadence with an automated offline-metric gate (minimum PR-AUC of 0.65) before production promotion, designed specifically to address the concept-drift degradation observed between offline and online evaluation during the A/B test.</w:t>
      </w:r>
    </w:p>
    <w:p>
      <w:pPr>
        <w:pStyle w:val="ListParagraph"/>
        <w:numPr>
          <w:ilvl w:val="0"/>
          <w:numId w:val="1"/>
        </w:numPr>
      </w:pPr>
      <w:r>
        <w:t xml:space="preserve">A feature-store fallback path that preserves payment-platform availability during infrastructure degradation by gracefully degrading to guardrail-only fraud detection, rather than failing transactions, informed by load testing at 8x the platform's historical peak-traffic multiplier.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2026-09-29T10:56:15.476Z</dcterms:created>
  <dcterms:modified xsi:type="dcterms:W3CDTF">2026-09-29T10:56:15.476Z</dcterms:modified>
</cp:coreProperties>
</file>

<file path=docProps/custom.xml><?xml version="1.0" encoding="utf-8"?>
<Properties xmlns="http://schemas.openxmlformats.org/officeDocument/2006/custom-properties" xmlns:vt="http://schemas.openxmlformats.org/officeDocument/2006/docPropsVTypes"/>
</file>