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Practice Report: End-to-End Autonomous Navigation System for Warehouse Picking Robots</w:t>
      </w:r>
    </w:p>
    <w:p>
      <w:pPr>
        <w:jc w:val="center"/>
      </w:pPr>
      <w:r>
        <w:rPr>
          <w:i/>
          <w:iCs/>
        </w:rPr>
        <w:t xml:space="preserve">Student: Huang Lei   Industry Mentor: Sun Yang   Host Company: Suzhou Jingwei Intelligent Logistics Co., Ltd.</w:t>
      </w:r>
    </w:p>
    <w:p/>
    <w:p>
      <w:pPr>
        <w:pStyle w:val="Heading1"/>
      </w:pPr>
      <w:r>
        <w:t xml:space="preserve">1. Background and Research Problem</w:t>
      </w:r>
    </w:p>
    <w:p>
      <w:r>
        <w:t xml:space="preserve">The host company operates automated warehouses providing fulfillment services to e-commerce clients, using fleets of autonomous mobile robots (AMRs) to transport shelving units to human pick stations. At the start of this project, the existing fleet of 84 robots relied on a fixed-graph navigation system, in which robots follow predefined paths along a graph of waypoints laid out during warehouse commissioning. Operations data from the six months preceding this project showed that this approach resulted in an average robot utilization rate of 68% (time spent actively transporting versus idle or queued), with congestion at graph intersections identified as the leading cause of idle time, accounting for an estimated 41% of all non-productive robot time according to the warehouse execution system's event logs.</w:t>
      </w:r>
    </w:p>
    <w:p>
      <w:r>
        <w:t xml:space="preserve">As the client base grew, the operations team observed that the fixed-graph approach did not scale well to warehouses with more than approximately 60 concurrently active robots, since path conflicts at shared waypoints increased super-linearly with fleet density, based on a scaling analysis conducted by the operations engineering team using historical congestion data from three warehouse sites of varying fleet size. This project's objective was to design and deploy a dynamic, graph-free navigation system capable of computing collision-free paths in real time as fleet density increases, targeting improved robot utilization without requiring warehouse-specific graph recommissioning when layouts change.</w:t>
      </w:r>
    </w:p>
    <w:p>
      <w:pPr>
        <w:pStyle w:val="Heading1"/>
      </w:pPr>
      <w:r>
        <w:t xml:space="preserve">2. Literature and Prior System Review</w:t>
      </w:r>
    </w:p>
    <w:p>
      <w:r>
        <w:t xml:space="preserve">Before finalizing the technical approach, the student reviewed three categories of existing solutions, in consultation with the industry mentor and the company's existing robotics literature repository. Centralized path-planning approaches (in which a central server computes and assigns non-conflicting paths for the entire fleet) offer strong collision-avoidance guarantees but were assessed as introducing a single point of failure and a per-cycle planning latency that scales with fleet size, a concern raised directly by the site reliability team given a prior outage caused by the company's central warehouse execution system. Fully decentralized approaches (each robot independently sensing and avoiding obstacles, such as reactive potential-field methods) avoid the central-server bottleneck but were found in the mentor's prior experience at a previous employer to produce deadlock situations in narrow warehouse aisles under high fleet density, without additional coordination logic. A hybrid approach, combining centralized coarse-grained traffic management (reserving aisle segments) with decentralized fine-grained local navigation (each robot independently planning within its reserved segment), was identified as the most promising direction and adopted for this project, informed by both the literature review and a site visit to a partner warehouse that had piloted a similar architecture.</w:t>
      </w:r>
    </w:p>
    <w:p>
      <w:pPr>
        <w:pStyle w:val="Heading1"/>
      </w:pPr>
      <w:r>
        <w:t xml:space="preserve">3. Technical Route</w:t>
      </w:r>
    </w:p>
    <w:p>
      <w:pPr>
        <w:pStyle w:val="Heading2"/>
      </w:pPr>
      <w:r>
        <w:t xml:space="preserve">3.1 Perception and Localization</w:t>
      </w:r>
    </w:p>
    <w:p>
      <w:r>
        <w:t xml:space="preserve">Each robot is equipped with a 2D LiDAR sensor and wheel odometry, fused using an extended Kalman filter for real-time pose estimation. Global localization within the warehouse is achieved via a pre-built occupancy grid map (generated once per warehouse using a SLAM mapping pass during commissioning) combined with Monte Carlo localization (particle filter) for continuous pose correction against the LiDAR scan. This localization approach was retained from the existing fixed-graph system, since offline evaluation early in the project confirmed its accuracy (mean positional error of 3.2 centimeters against ground-truth markers) was sufficient for the new navigation stack and did not require redesign.</w:t>
      </w:r>
    </w:p>
    <w:p>
      <w:pPr>
        <w:pStyle w:val="Heading2"/>
      </w:pPr>
      <w:r>
        <w:t xml:space="preserve">3.2 Global Traffic Management</w:t>
      </w:r>
    </w:p>
    <w:p>
      <w:r>
        <w:t xml:space="preserve">A central traffic-management service divides the warehouse floor into approximately 1,400 rectangular segments (roughly 2x2 meters each) and maintains a real-time reservation table tracking which robot, if any, currently holds each segment. When a robot requests a route from its current position to a destination (a shelving unit or a pick station), the traffic-management service computes a segment-level route using a time-windowed variant of A* search, reserving each segment for the estimated time window the robot will occupy it, and returns the reserved segment sequence to the robot. This centralized layer was scoped deliberately narrow (segment-level reservation only, not full-path planning) specifically to keep per-request computation time low as fleet size grows, addressing the scalability concern identified in the literature review.</w:t>
      </w:r>
    </w:p>
    <w:p>
      <w:pPr>
        <w:pStyle w:val="Heading2"/>
      </w:pPr>
      <w:r>
        <w:t xml:space="preserve">3.3 Local Path Planning</w:t>
      </w:r>
    </w:p>
    <w:p>
      <w:r>
        <w:t xml:space="preserve">Within each reserved segment, each robot runs a local planner (a Timed-Elastic-Band trajectory optimizer) that computes a smooth, kinodynamically feasible trajectory considering the robot's own LiDAR-detected obstacles (including other robots not currently tracked by the central reservation system, such as a robot that has briefly paused due to a mechanical fault). This local layer provides the fine-grained, low-latency reactivity that a purely centralized system would struggle to offer, while the segment reservation from the global layer prevents the deadlock scenarios observed in the fully decentralized approaches reviewed in Section 2.</w:t>
      </w:r>
    </w:p>
    <w:p>
      <w:pPr>
        <w:pStyle w:val="Heading2"/>
      </w:pPr>
      <w:r>
        <w:t xml:space="preserve">3.4 Deadlock Detection and Resolution</w:t>
      </w:r>
    </w:p>
    <w:p>
      <w:r>
        <w:t xml:space="preserve">Despite the segment-reservation mechanism, the team identified during simulation testing that deadlocks could still occur in narrow-aisle configurations when two robots' reserved segments were adjacent but their local plans caused mutual blocking. A deadlock-detection module was added to the traffic-management service, monitoring for pairs of robots that remain stationary and mutually blocking for more than 8 seconds; upon detection, one robot (selected by a priority rule based on remaining task deadline) is issued a temporary reverse-and-reroute command to clear the blockage. This mechanism was informed directly by deadlock patterns observed during a two-week simulation campaign prior to physical deployment.</w:t>
      </w:r>
    </w:p>
    <w:p>
      <w:pPr>
        <w:pStyle w:val="Heading2"/>
      </w:pPr>
      <w:r>
        <w:t xml:space="preserve">3.5 System Architecture and Communication</w:t>
      </w:r>
    </w:p>
    <w:p>
      <w:r>
        <w:t xml:space="preserve">The traffic-management service is implemented as a horizontally scalable set of stateless request-handling nodes behind a shared Redis-backed reservation store, communicating with robots over the warehouse's existing 5GHz Wi-Fi mesh network using a lightweight MQTT protocol. Each robot's onboard compute (an NVIDIA Jetson Xavier NX) runs the local planner and localization stack, while route requests to the central service are made at a typical rate of one request per robot per 15-30 seconds (upon completing a segment sequence or requiring rerouting), keeping network and central-service load well within the warehouse's existing infrastructure capacity.</w:t>
      </w:r>
    </w:p>
    <w:p>
      <w:pPr>
        <w:pStyle w:val="Heading1"/>
      </w:pPr>
      <w:r>
        <w:t xml:space="preserve">4. Simulation-Based Validation</w:t>
      </w:r>
    </w:p>
    <w:p>
      <w:r>
        <w:t xml:space="preserve">Prior to physical deployment, the full navigation stack was validated in a custom warehouse simulator (built on Gazebo) replicating the layout of the smallest pilot warehouse (approximately 8,000 square meters, 48 robots at full fleet density). Simulation campaigns were run at 1x, 2x, and 3x the pilot warehouse's typical task-arrival rate to stress-test the system beyond expected operating conditions. At 1x load, the simulated fleet achieved a projected utilization rate of 84%, compared to a simulated fixed-graph baseline (a simulation of the existing system, for fair comparison) of 66%. At 3x load, the new system's projected utilization degraded gracefully to 71%, while the fixed-graph baseline simulation showed severe congestion collapse, with projected utilization dropping to 22% due to compounding intersection conflicts. These simulation results were reviewed with the industry mentor and the operations engineering team before approving the system for a physical pilot deployment.</w:t>
      </w:r>
    </w:p>
    <w:p>
      <w:pPr>
        <w:pStyle w:val="Heading1"/>
      </w:pPr>
      <w:r>
        <w:t xml:space="preserve">5. Physical Pilot Deployment and Experiments</w:t>
      </w:r>
    </w:p>
    <w:p>
      <w:pPr>
        <w:pStyle w:val="Heading2"/>
      </w:pPr>
      <w:r>
        <w:t xml:space="preserve">5.1 Pilot Scope</w:t>
      </w:r>
    </w:p>
    <w:p>
      <w:r>
        <w:t xml:space="preserve">The physical pilot was conducted at the company's Suzhou fulfillment center over a six-week period, initially on a 12-robot subset of the fleet (operating within a physically cordoned section of the warehouse to avoid interference with the production fixed-graph system during early validation), before expanding to the full 84-robot fleet for the final two weeks of the pilot.</w:t>
      </w:r>
    </w:p>
    <w:p>
      <w:pPr>
        <w:pStyle w:val="Heading2"/>
      </w:pPr>
      <w:r>
        <w:t xml:space="preserve">5.2 Utilization Results</w:t>
      </w:r>
    </w:p>
    <w:p>
      <w:r>
        <w:t xml:space="preserve">During the full-fleet phase of the pilot, the new navigation system achieved a measured average robot utilization rate of 79%, compared to the 68% baseline measured in the six months prior to the project - an 11 percentage point improvement, slightly below the 84% projected by simulation at comparable load, a gap the team attributed to real-world sensor noise and Wi-Fi latency variance not fully captured in the simulator.</w:t>
      </w:r>
    </w:p>
    <w:p>
      <w:pPr>
        <w:pStyle w:val="Heading2"/>
      </w:pPr>
      <w:r>
        <w:t xml:space="preserve">5.3 Congestion and Deadlock Metrics</w:t>
      </w:r>
    </w:p>
    <w:p>
      <w:r>
        <w:t xml:space="preserve">Intersection-related idle time, which accounted for 41% of non-productive robot time under the fixed-graph baseline, was reduced to 17% of non-productive time under the new system, measured using the same warehouse execution system event logs used for the original baseline analysis. The deadlock-detection module triggered a total of 34 times during the six-week pilot (an average of 0.81 detections per day at full fleet density), with all 34 cases resolved automatically within a median of 4.2 seconds, without requiring manual operator intervention.</w:t>
      </w:r>
    </w:p>
    <w:p>
      <w:pPr>
        <w:pStyle w:val="Heading2"/>
      </w:pPr>
      <w:r>
        <w:t xml:space="preserve">5.4 Task Completion and Error Rates</w:t>
      </w:r>
    </w:p>
    <w:p>
      <w:r>
        <w:t xml:space="preserve">Task completion time (from task assignment to shelving-unit delivery at the pick station) showed a mean reduction of 23% relative to the fixed-graph baseline over the same pilot warehouse, measured across approximately 210,000 completed tasks during the full-fleet pilot phase. Navigation-related task failures (robot unable to complete a task due to a navigation fault, requiring operator intervention) occurred at a rate of 0.14% of tasks under the new system, compared to 0.09% under the fixed-graph baseline - a small increase the team attributes primarily to the local planner's occasional difficulty with a specific narrow-aisle configuration near the warehouse's cold-storage section, which is scheduled for a targeted fix in the next iteration rather than a full redesign.</w:t>
      </w:r>
    </w:p>
    <w:p>
      <w:pPr>
        <w:pStyle w:val="Heading1"/>
      </w:pPr>
      <w:r>
        <w:t xml:space="preserve">5.5 Segment-Size Sensitivity Analysis</w:t>
      </w:r>
    </w:p>
    <w:p>
      <w:r>
        <w:t xml:space="preserve">Because the central traffic-management service's segment size (initially set at approximately 2x2 meters) directly affects both reservation granularity and central-service request frequency, an additional simulation-based sensitivity analysis was conducted after the initial pilot phase to evaluate whether a different segment size might further improve performance. Segment sizes of 1.5x1.5, 2x2, 3x3, and 4x4 meters were each simulated at the full pilot warehouse's fleet density and task-arrival rate. The 1.5x1.5 configuration achieved the highest theoretical path precision but increased central-service request rate by approximately 78%, pushing projected p99 route-request latency above the 400-millisecond alerting threshold at full fleet density. The 3x3 configuration reduced request rate by approximately 31% relative to the 2x2 baseline but reduced projected utilization by 4 percentage points due to coarser-grained congestion management in narrow aisles. The 4x4 configuration was rejected outright after simulation showed it produced deadlock rates more than double the 2x2 baseline in the warehouse's narrowest aisle sections. Based on this analysis, the original 2x2 meter segment size was retained as the production configuration, with the sensitivity analysis results documented for reference should future warehouse layouts with different aisle geometries require re-evaluation.</w:t>
      </w:r>
    </w:p>
    <w:p>
      <w:pPr>
        <w:pStyle w:val="Heading1"/>
      </w:pPr>
      <w:r>
        <w:t xml:space="preserve">5.6 Comparison Across the Three Rollout-Candidate Warehouses</w:t>
      </w:r>
    </w:p>
    <w:p>
      <w:r>
        <w:t xml:space="preserve">Prior to committing to the phased multi-site rollout plan, the operations engineering team requested a comparative feasibility analysis across the three candidate warehouses (the original pilot site, and the two mid-size sites planned for the next rollout phase), since aisle geometry and fleet density differ meaningfully across sites. The pilot site (84 robots, approximately 8,000 square meters) was used to establish the baseline results described in Section 5. The first mid-size candidate site (55 robots, approximately 6,200 square meters, wider aisles than the pilot site) was projected via simulation, calibrated against the pilot site's real-versus-simulated utilization gap, to achieve a utilization rate of approximately 81%, slightly higher than the pilot site's measured 79%, attributed to its wider aisles reducing local-planner replanning frequency. The second mid-size candidate site (70 robots, approximately 7,100 square meters, a more irregular layout with several dead-end aisles used for slow-moving inventory) was projected to achieve a lower utilization rate of approximately 74%, with the dead-end aisle configuration flagged as a specific risk factor for elevated deadlock rates; the deployment plan for this site accordingly includes an additional two-week extended monitoring period beyond the standard two-week side-by-side comparison used for the first mid-size site.</w:t>
      </w:r>
    </w:p>
    <w:p>
      <w:pPr>
        <w:pStyle w:val="Heading1"/>
      </w:pPr>
      <w:r>
        <w:t xml:space="preserve">6. Team, Timeline, and Development Process</w:t>
      </w:r>
    </w:p>
    <w:p>
      <w:r>
        <w:t xml:space="preserve">The project was carried out over approximately five months, structured into four phases: a one-month research and architecture-design phase (Sections 2-3 of this report), a six-week simulation-development and validation phase (Section 4), a six-week physical pilot phase (Section 5), and a final two-week phase dedicated to the segment-size sensitivity analysis and multi-site comparative feasibility study (Sections 5.5-5.6), conducted in parallel with early rollout planning. The student worked within a four-person robotics team (the student, two full-time robotics engineers, and the industry mentor in a supervisory and code-review capacity), with the student holding primary responsibility for the central traffic-management service's segment-reservation and deadlock-detection logic, while the two full-time engineers led the local-planner integration and the physical robot fleet's onboard software respectively. Weekly design-review meetings with the industry mentor were used to validate architectural decisions before implementation, including the decision (documented in Section 2) to adopt the hybrid centralized-decentralized architecture over the two alternative approaches considered.</w:t>
      </w:r>
    </w:p>
    <w:p>
      <w:pPr>
        <w:pStyle w:val="Heading1"/>
      </w:pPr>
      <w:r>
        <w:t xml:space="preserve">7. Deployment and Feasibility Considerations</w:t>
      </w:r>
    </w:p>
    <w:p>
      <w:r>
        <w:t xml:space="preserve">Full-fleet production rollout beyond the pilot warehouse was planned in three stages: validation at the pilot site for an additional four weeks at full production load (rather than the pilot's controlled conditions) to confirm sustained performance, a phased rollout to two additional mid-size warehouses (fleet sizes of 55 and 70 robots respectively) with side-by-side monitoring against each site's fixed-graph baseline for two weeks per site, and finally a rollout plan for the company's largest warehouse (approximately 210 robots), which the operations engineering team flagged as requiring an additional scalability validation phase given it exceeds the fleet size tested during both simulation and the physical pilot.</w:t>
      </w:r>
    </w:p>
    <w:p>
      <w:r>
        <w:t xml:space="preserve">A rollback plan was defined per site: each warehouse retains its fixed-graph system in a dormant but ready state for the first 90 days after cutover to the new system, with a documented manual procedure (estimated 25-minute execution time by the site operations lead) to revert if the new system's utilization rate falls below the site's historical fixed-graph baseline for more than 24 continuous hours. This conservative rollback window was a specific requirement from the operations engineering team given the operational risk of fulfillment delays during peak shopping periods.</w:t>
      </w:r>
    </w:p>
    <w:p>
      <w:r>
        <w:t xml:space="preserve">Wi-Fi network capacity was identified as a feasibility risk given the new system's greater reliance on frequent robot-to-server communication compared to the fixed-graph system's more static path assignments. A network capacity assessment, conducted jointly with the company's network engineering team, confirmed that the existing 5GHz mesh infrastructure at all three planned rollout sites had sufficient spare capacity (measured via a two-day load test simulating full-fleet MQTT traffic) without requiring additional access-point installation, though the assessment recommended a follow-up review before the large 210-robot warehouse rollout.</w:t>
      </w:r>
    </w:p>
    <w:p>
      <w:pPr>
        <w:pStyle w:val="Heading1"/>
      </w:pPr>
      <w:r>
        <w:t xml:space="preserve">8. Risk Analysis and Mitigations</w:t>
      </w:r>
    </w:p>
    <w:p>
      <w:r>
        <w:t xml:space="preserve">A joint risk review with the site reliability and operations engineering teams identified three primary risks beyond those already addressed by the phased rollout and rollback plan. First, central traffic-management service availability: since the segment-reservation layer is centralized (even though narrowly scoped), an outage would halt new route requests fleet-wide. This was mitigated by deploying the service across two availability zones with automatic failover and by having robots complete their currently reserved segment sequence autonomously (using only local planning) for up to 60 seconds during a failover event, avoiding an immediate fleet-wide stop. Second, localization drift in poorly-lit warehouse zones (observed during the pilot near the cold-storage section, where reduced lighting affects LiDAR-based scan matching in combination with reflective surfaces); this was flagged for a hardware-level fix (additional reflective fiducial markers) in the next iteration rather than addressed within this project's scope. Third, operator trust and transition management: since warehouse floor staff and pick-station operators were accustomed to the more predictable fixed-graph robot movement patterns, the operations team ran two dedicated training sessions during the pilot to familiarize staff with the new system's more dynamic robot paths, which the site operations lead reported as sufficient based on a post-pilot staff survey.</w:t>
      </w:r>
    </w:p>
    <w:p>
      <w:pPr>
        <w:pStyle w:val="Heading1"/>
      </w:pPr>
      <w:r>
        <w:t xml:space="preserve">9. Monitoring and Alerting</w:t>
      </w:r>
    </w:p>
    <w:p>
      <w:r>
        <w:t xml:space="preserve">A monitoring dashboard was integrated into the company's existing warehouse operations control room, displaying real-time fleet utilization, segment-reservation queue depth (an early indicator of emerging congestion before it manifests as measurable idle time), deadlock-detection event frequency, and central-service latency (route-request response time). Alert thresholds, configured with the site operations lead, trigger a control-room notification if fleet utilization drops more than 10 percentage points below the site's rolling 7-day average for more than 15 minutes, or if central-service p99 route-request latency exceeds 400 milliseconds. During the pilot, this alerting correctly flagged a brief utilization dip caused by an unrelated warehouse management system update that temporarily paused task assignment, allowing the operations team to confirm the navigation system itself was not the cause before the issue resolved.</w:t>
      </w:r>
    </w:p>
    <w:p>
      <w:pPr>
        <w:pStyle w:val="Heading1"/>
      </w:pPr>
      <w:r>
        <w:t xml:space="preserve">10. Cost and Resource Considerations</w:t>
      </w:r>
    </w:p>
    <w:p>
      <w:r>
        <w:t xml:space="preserve">The project did not require new robot hardware, since the existing Jetson Xavier NX onboard compute had sufficient headroom for the additional local-planning workload, confirmed via CPU and GPU utilization profiling during the simulation phase (peak utilization of 58% during 3x-load simulation, leaving adequate margin). The primary incremental infrastructure cost was the central traffic-management service's compute and Redis memory footprint, estimated at approximately 6,000 RMB per month per warehouse site at full fleet density. Engineering effort for the phased multi-site rollout was estimated at approximately 3 engineer-weeks per site (network capacity validation, side-by-side monitoring setup, and staff training coordination), which the operations engineering team incorporated into the rollout schedule.</w:t>
      </w:r>
    </w:p>
    <w:p>
      <w:pPr>
        <w:pStyle w:val="Heading1"/>
      </w:pPr>
      <w:r>
        <w:t xml:space="preserve">11. Conclusions</w:t>
      </w:r>
    </w:p>
    <w:p>
      <w:r>
        <w:t xml:space="preserve">The hybrid centralized-segment-reservation and decentralized-local-planning navigation system improved measured robot utilization from 68% to 79% during full-fleet physical piloting, reduced intersection-related idle time from 41% to 17% of non-productive time, and reduced mean task completion time by 23%, while introducing only a small increase in navigation-related task failures that has been scoped for a targeted follow-up fix. Simulation results at higher-than-pilot fleet densities suggest the architecture should scale further, though this remains to be confirmed by the additional scalability validation planned before rollout to the company's largest warehouse.</w:t>
      </w:r>
    </w:p>
    <w:p>
      <w:pPr>
        <w:pStyle w:val="Heading1"/>
      </w:pPr>
      <w:r>
        <w:t xml:space="preserve">12. Innovation Points</w:t>
      </w:r>
    </w:p>
    <w:p>
      <w:pPr>
        <w:pStyle w:val="ListParagraph"/>
        <w:numPr>
          <w:ilvl w:val="0"/>
          <w:numId w:val="1"/>
        </w:numPr>
      </w:pPr>
      <w:r>
        <w:t xml:space="preserve">A hybrid navigation architecture that deliberately narrows the scope of the centralized layer to coarse segment-level reservation rather than full-path planning, specifically to preserve low per-request latency as fleet size grows - directly addressing the scalability failure mode identified in the literature review of purely centralized systems.</w:t>
      </w:r>
    </w:p>
    <w:p>
      <w:pPr>
        <w:pStyle w:val="ListParagraph"/>
        <w:numPr>
          <w:ilvl w:val="0"/>
          <w:numId w:val="1"/>
        </w:numPr>
      </w:pPr>
      <w:r>
        <w:t xml:space="preserve">An automated deadlock-detection and resolution module triggered by real mutual-blocking patterns observed during pre-deployment simulation, rather than a generic timeout-based approach, reducing the median deadlock-resolution time to 4.2 seconds without manual intervention during the physical pilot.</w:t>
      </w:r>
    </w:p>
    <w:p>
      <w:pPr>
        <w:pStyle w:val="ListParagraph"/>
        <w:numPr>
          <w:ilvl w:val="0"/>
          <w:numId w:val="1"/>
        </w:numPr>
      </w:pPr>
      <w:r>
        <w:t xml:space="preserve">A conservative, site-specific rollback design (a 90-day dormant fixed-graph fallback with a documented 25-minute manual reversion procedure) developed jointly with the operations engineering team to match this company's specific operational risk tolerance during peak fulfillment periods, rather than a generic feature-flag rollback alone.</w:t>
      </w:r>
    </w:p>
    <w:p>
      <w:pPr>
        <w:pStyle w:val="Heading1"/>
      </w:pPr>
      <w:r>
        <w:t xml:space="preserve">Appendix A: Third-Party Vendor Evaluation</w:t>
      </w:r>
    </w:p>
    <w:p>
      <w:r>
        <w:t xml:space="preserve">Before committing to an in-house build, the team evaluated two third-party fleet-navigation platforms as potential alternatives, at the industry mentor's request, to ensure the in-house approach was justified against available commercial options. Vendor A offered a fully managed centralized planning service with a per-robot monthly licensing fee; a trial deployment on eight robots over two weeks achieved a utilization rate comparable to the existing fixed-graph baseline but required warehouse-specific graph configuration similar to the existing system, which did not address this project's core scalability objective. Vendor B offered a decentralized on-robot navigation stack with a one-time per-robot licensing cost; however, its published architecture relied on a fully decentralized reactive approach similar to the category reviewed in Section 2, and the vendor was unable to provide deadlock-rate data at fleet densities comparable to the company's 84-robot pilot site during due-diligence discussions. Based on this evaluation, the industry mentor and site reliability lead concluded that an in-house hybrid architecture, tailored to the company's specific warehouse layouts and existing infrastructure, was more likely to meet the project's scalability and deadlock-avoidance requirements than either commercial alternative, and approved proceeding with the in-house design described in Section 3.</w:t>
      </w:r>
    </w:p>
    <w:p>
      <w:pPr>
        <w:pStyle w:val="Heading1"/>
      </w:pPr>
      <w:r>
        <w:t xml:space="preserve">Appendix B: Weekly Utilization Progression During the Physical Pilot</w:t>
      </w:r>
    </w:p>
    <w:p>
      <w:r>
        <w:t xml:space="preserve">Robot utilization during the six-week physical pilot did not reach its final measured value of 79% immediately upon cutover; a weekly breakdown, drawn from the warehouse execution system's daily summary reports, shows a gradual improvement consistent with an initial tuning period. During week 1 (the 12-robot cordoned-section phase), measured utilization within the cordoned section was 74%, which the team attributes to conservative initial segment-reservation timing parameters set deliberately cautious for the first physical test. Following a parameter adjustment made after reviewing week 1 data with the industry mentor, week 2 utilization within the cordoned section rose to 81%. Weeks 3 and 4 continued within the cordoned section at a stable 82-83% as the team focused on validating the deadlock-detection module rather than further tuning. Upon expansion to the full 84-robot fleet in week 5, utilization initially dropped to 75%, attributed to the fleet-wide rollout surfacing a small number of additional local-planner edge cases not observed in the cordoned-section testing (including the narrow-aisle cold-storage issue noted in Section 5.4), before recovering to the final reported 79% by the end of week 6 as those edge cases were addressed.</w:t>
      </w:r>
    </w:p>
    <w:p>
      <w:pPr>
        <w:pStyle w:val="Heading1"/>
      </w:pPr>
      <w:r>
        <w:t xml:space="preserve">Appendix C: Extended Local-Planner Tuning Notes</w:t>
      </w:r>
    </w:p>
    <w:p>
      <w:r>
        <w:t xml:space="preserve">The Timed-Elastic-Band local planner's cost-function weights (balancing path smoothness, obstacle clearance, and time-to-goal) required site-specific tuning beyond the framework's default configuration. Initial default weights, carried over from the framework's reference configuration, produced overly conservative obstacle clearance behavior, causing robots to slow substantially when passing other robots in aisles wider than necessary for safe passage, which the team identified as a contributing factor to the week 1 utilization figure reported in Appendix B. The obstacle-clearance weight was reduced by approximately 35% relative to the default, with the reduction validated against the simulation environment before being applied to the physical pilot, after which aisle-passing behavior visually matched the smoother trajectories observed in simulation. This tuning was documented in the project's internal wiki, at the industry mentor's request, to support faster onboarding of the local-planner configuration at the two mid-size warehouses planned for the next rollout phase, rather than requiring each site to repeat the same tuning process from the framework defaults.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2026-09-29T10:59:07.710Z</dcterms:created>
  <dcterms:modified xsi:type="dcterms:W3CDTF">2026-09-29T10:59:07.710Z</dcterms:modified>
</cp:coreProperties>
</file>

<file path=docProps/custom.xml><?xml version="1.0" encoding="utf-8"?>
<Properties xmlns="http://schemas.openxmlformats.org/officeDocument/2006/custom-properties" xmlns:vt="http://schemas.openxmlformats.org/officeDocument/2006/docPropsVTypes"/>
</file>