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60"/>
        <w:jc w:val="center"/>
      </w:pPr>
      <w:r>
        <w:rPr>
          <w:b/>
          <w:bCs/>
          <w:color w:val="2E5AAC"/>
          <w:sz w:val="48"/>
          <w:szCs w:val="48"/>
        </w:rPr>
        <w:t xml:space="preserve">Project Management Platform</w:t>
      </w:r>
    </w:p>
    <w:p>
      <w:pPr>
        <w:spacing w:after="60"/>
        <w:jc w:val="center"/>
      </w:pPr>
      <w:r>
        <w:rPr>
          <w:color w:val="1F1F1F"/>
          <w:sz w:val="28"/>
          <w:szCs w:val="28"/>
        </w:rPr>
        <w:t xml:space="preserve">Final Project Report — EPAM Python Programming Q2 2026</w:t>
      </w:r>
    </w:p>
    <w:p>
      <w:pPr>
        <w:spacing w:after="400"/>
        <w:jc w:val="center"/>
      </w:pPr>
      <w:r>
        <w:rPr>
          <w:i/>
          <w:iCs/>
          <w:color w:val="666666"/>
          <w:sz w:val="22"/>
          <w:szCs w:val="22"/>
        </w:rPr>
        <w:t xml:space="preserve">FastAPI · PostgreSQL · AWS S3 · AWS Lambda · JWT · Docker · CI/CD</w:t>
      </w:r>
    </w:p>
    <w:p>
      <w:pPr>
        <w:spacing w:after="800"/>
        <w:jc w:val="center"/>
      </w:pPr>
      <w:r>
        <w:rPr>
          <w:color w:val="444444"/>
          <w:sz w:val="20"/>
          <w:szCs w:val="20"/>
        </w:rPr>
        <w:t xml:space="preserve">Includes: Final Project task coverage, AWS Sandbox live-migration log, spec-compliance fixes, and test results (80/80 passing).</w:t>
      </w:r>
    </w:p>
    <w:p>
      <w:pPr>
        <w:jc w:val="center"/>
      </w:pPr>
      <w:r>
        <w:rPr>
          <w:color w:val="2E5AAC"/>
          <w:sz w:val="20"/>
          <w:szCs w:val="20"/>
        </w:rPr>
        <w:t xml:space="preserve">Repository: github.com/kaipbergen/project-management-platform</w:t>
      </w:r>
    </w:p>
    <w:p>
      <w:pPr>
        <w:spacing w:before="120"/>
        <w:jc w:val="center"/>
      </w:pPr>
      <w:r>
        <w:rPr>
          <w:color w:val="666666"/>
          <w:sz w:val="20"/>
          <w:szCs w:val="20"/>
        </w:rPr>
        <w:t xml:space="preserve">August 2026</w:t>
      </w:r>
    </w:p>
    <w:p>
      <w:r>
        <w:br w:type="page"/>
      </w:r>
    </w:p>
    <w:p>
      <w:pPr>
        <w:pStyle w:val="Heading1"/>
        <w:spacing w:after="160" w:before="320"/>
      </w:pPr>
      <w:r>
        <w:t xml:space="preserve">1. Overview</w:t>
      </w:r>
    </w:p>
    <w:p>
      <w:pPr>
        <w:spacing w:after="120"/>
      </w:pPr>
      <w:r>
        <w:t xml:space="preserve">A project-management/profiles dashboard API implementing the full task specification: user auth, project CRUD, document upload/download via S3, project sharing/invites, and AWS Lambda–driven storage accounting — plus the optional share-link feature and all Phase 2 requirements.</w:t>
      </w:r>
    </w:p>
    <w:p>
      <w:pPr>
        <w:spacing w:after="120"/>
      </w:pPr>
      <w:r>
        <w:t xml:space="preserve">Stack: Python 3.10, FastAPI (async), PostgreSQL + SQLAlchemy 2.0 (async ORM) with Alembic migrations, AWS S3 for document storage, AWS Lambda for S3-event-driven file-size aggregation, JWT (HS256) auth with refresh-token rotation, Docker Compose for orchestration, GitHub Actions for lint → test → build → push → deploy CI/CD.</w:t>
      </w:r>
    </w:p>
    <w:p>
      <w:pPr>
        <w:spacing w:after="120"/>
      </w:pPr>
      <w:r>
        <w:t xml:space="preserve">Testing: 80/80 automated tests passing (pytest-asyncio + moto for AWS mocking), verified additionally end-to-end against real AWS (S3 + Lambda) in an EPAM/Syndicate Cloud Sandbox — see Section 4.</w:t>
      </w:r>
    </w:p>
    <w:p>
      <w:pPr>
        <w:pStyle w:val="Heading1"/>
        <w:spacing w:after="160" w:before="320"/>
      </w:pPr>
      <w:r>
        <w:t xml:space="preserve">2. API Coverage vs. Task Specification</w:t>
      </w:r>
    </w:p>
    <w:p>
      <w:pPr>
        <w:spacing w:after="120"/>
      </w:pPr>
      <w:r>
        <w:t xml:space="preserve">Every required endpoint from the task description is implemented, plus the optional share-link endpoint: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1600"/>
      </w:tblGrid>
      <w:tr>
        <w:trPr>
          <w:tblHeader/>
        </w:trPr>
        <w:tc>
          <w:tcPr>
            <w:tcW w:type="dxa" w:w="1400"/>
            <w:shd w:fill="2E5AAC" w:val="clear"/>
            <w:vAlign w:val="center"/>
          </w:tcPr>
          <w:p>
            <w:r>
              <w:rPr>
                <w:b/>
                <w:bCs/>
                <w:color w:val="FFFFFF"/>
                <w:sz w:val="20"/>
                <w:szCs w:val="20"/>
              </w:rPr>
              <w:t xml:space="preserve">Method</w:t>
            </w:r>
          </w:p>
        </w:tc>
        <w:tc>
          <w:tcPr>
            <w:tcW w:type="dxa" w:w="5400"/>
            <w:shd w:fill="2E5AAC" w:val="clear"/>
            <w:vAlign w:val="center"/>
          </w:tcPr>
          <w:p>
            <w:r>
              <w:rPr>
                <w:b/>
                <w:bCs/>
                <w:color w:val="FFFFFF"/>
                <w:sz w:val="20"/>
                <w:szCs w:val="20"/>
              </w:rPr>
              <w:t xml:space="preserve">Endpoint</w:t>
            </w:r>
          </w:p>
        </w:tc>
        <w:tc>
          <w:tcPr>
            <w:tcW w:type="dxa" w:w="1600"/>
            <w:shd w:fill="2E5AAC" w:val="clear"/>
            <w:vAlign w:val="center"/>
          </w:tcPr>
          <w:p>
            <w:r>
              <w:rPr>
                <w:b/>
                <w:bCs/>
                <w:color w:val="FFFFFF"/>
                <w:sz w:val="20"/>
                <w:szCs w:val="20"/>
              </w:rPr>
              <w:t xml:space="preserve">Status</w:t>
            </w:r>
          </w:p>
        </w:tc>
      </w:tr>
      <w:tr>
        <w:tc>
          <w:tcPr>
            <w:tcW w:type="dxa" w:w="1400"/>
            <w:vAlign w:val="center"/>
          </w:tcPr>
          <w:p>
            <w:r>
              <w:rPr>
                <w:b w:val="false"/>
                <w:bCs w:val="false"/>
                <w:sz w:val="20"/>
                <w:szCs w:val="20"/>
              </w:rPr>
              <w:t xml:space="preserve">POST</w:t>
            </w:r>
          </w:p>
        </w:tc>
        <w:tc>
          <w:tcPr>
            <w:tcW w:type="dxa" w:w="5400"/>
            <w:vAlign w:val="center"/>
          </w:tcPr>
          <w:p>
            <w:r>
              <w:rPr>
                <w:b w:val="false"/>
                <w:bCs w:val="false"/>
                <w:sz w:val="20"/>
                <w:szCs w:val="20"/>
              </w:rPr>
              <w:t xml:space="preserve">/api/v1/auth/register</w:t>
            </w:r>
          </w:p>
        </w:tc>
        <w:tc>
          <w:tcPr>
            <w:tcW w:type="dxa" w:w="1600"/>
            <w:vAlign w:val="center"/>
          </w:tcPr>
          <w:p>
            <w:r>
              <w:rPr>
                <w:b/>
                <w:bCs/>
                <w:color w:val="1E7B34"/>
                <w:sz w:val="20"/>
                <w:szCs w:val="20"/>
              </w:rPr>
              <w:t xml:space="preserve">Done</w:t>
            </w:r>
          </w:p>
        </w:tc>
      </w:tr>
      <w:tr>
        <w:tc>
          <w:tcPr>
            <w:tcW w:type="dxa" w:w="1400"/>
            <w:vAlign w:val="center"/>
          </w:tcPr>
          <w:p>
            <w:r>
              <w:rPr>
                <w:b w:val="false"/>
                <w:bCs w:val="false"/>
                <w:sz w:val="20"/>
                <w:szCs w:val="20"/>
              </w:rPr>
              <w:t xml:space="preserve">POST</w:t>
            </w:r>
          </w:p>
        </w:tc>
        <w:tc>
          <w:tcPr>
            <w:tcW w:type="dxa" w:w="5400"/>
            <w:vAlign w:val="center"/>
          </w:tcPr>
          <w:p>
            <w:r>
              <w:rPr>
                <w:b w:val="false"/>
                <w:bCs w:val="false"/>
                <w:sz w:val="20"/>
                <w:szCs w:val="20"/>
              </w:rPr>
              <w:t xml:space="preserve">/api/v1/auth/login</w:t>
            </w:r>
          </w:p>
        </w:tc>
        <w:tc>
          <w:tcPr>
            <w:tcW w:type="dxa" w:w="1600"/>
            <w:vAlign w:val="center"/>
          </w:tcPr>
          <w:p>
            <w:r>
              <w:rPr>
                <w:b/>
                <w:bCs/>
                <w:color w:val="1E7B34"/>
                <w:sz w:val="20"/>
                <w:szCs w:val="20"/>
              </w:rPr>
              <w:t xml:space="preserve">Done</w:t>
            </w:r>
          </w:p>
        </w:tc>
      </w:tr>
      <w:tr>
        <w:tc>
          <w:tcPr>
            <w:tcW w:type="dxa" w:w="1400"/>
            <w:vAlign w:val="center"/>
          </w:tcPr>
          <w:p>
            <w:r>
              <w:rPr>
                <w:b w:val="false"/>
                <w:bCs w:val="false"/>
                <w:sz w:val="20"/>
                <w:szCs w:val="20"/>
              </w:rPr>
              <w:t xml:space="preserve">POST</w:t>
            </w:r>
          </w:p>
        </w:tc>
        <w:tc>
          <w:tcPr>
            <w:tcW w:type="dxa" w:w="5400"/>
            <w:vAlign w:val="center"/>
          </w:tcPr>
          <w:p>
            <w:r>
              <w:rPr>
                <w:b w:val="false"/>
                <w:bCs w:val="false"/>
                <w:sz w:val="20"/>
                <w:szCs w:val="20"/>
              </w:rPr>
              <w:t xml:space="preserve">/api/v1/auth/refresh</w:t>
            </w:r>
          </w:p>
        </w:tc>
        <w:tc>
          <w:tcPr>
            <w:tcW w:type="dxa" w:w="1600"/>
            <w:vAlign w:val="center"/>
          </w:tcPr>
          <w:p>
            <w:r>
              <w:rPr>
                <w:b/>
                <w:bCs/>
                <w:color w:val="1E7B34"/>
                <w:sz w:val="20"/>
                <w:szCs w:val="20"/>
              </w:rPr>
              <w:t xml:space="preserve">Done</w:t>
            </w:r>
          </w:p>
        </w:tc>
      </w:tr>
      <w:tr>
        <w:tc>
          <w:tcPr>
            <w:tcW w:type="dxa" w:w="1400"/>
            <w:vAlign w:val="center"/>
          </w:tcPr>
          <w:p>
            <w:r>
              <w:rPr>
                <w:b w:val="false"/>
                <w:bCs w:val="false"/>
                <w:sz w:val="20"/>
                <w:szCs w:val="20"/>
              </w:rPr>
              <w:t xml:space="preserve">POST</w:t>
            </w:r>
          </w:p>
        </w:tc>
        <w:tc>
          <w:tcPr>
            <w:tcW w:type="dxa" w:w="5400"/>
            <w:vAlign w:val="center"/>
          </w:tcPr>
          <w:p>
            <w:r>
              <w:rPr>
                <w:b w:val="false"/>
                <w:bCs w:val="false"/>
                <w:sz w:val="20"/>
                <w:szCs w:val="20"/>
              </w:rPr>
              <w:t xml:space="preserve">/api/v1/auth/logout</w:t>
            </w:r>
          </w:p>
        </w:tc>
        <w:tc>
          <w:tcPr>
            <w:tcW w:type="dxa" w:w="1600"/>
            <w:vAlign w:val="center"/>
          </w:tcPr>
          <w:p>
            <w:r>
              <w:rPr>
                <w:b/>
                <w:bCs/>
                <w:color w:val="1E7B34"/>
                <w:sz w:val="20"/>
                <w:szCs w:val="20"/>
              </w:rPr>
              <w:t xml:space="preserve">Done</w:t>
            </w:r>
          </w:p>
        </w:tc>
      </w:tr>
      <w:tr>
        <w:tc>
          <w:tcPr>
            <w:tcW w:type="dxa" w:w="1400"/>
            <w:vAlign w:val="center"/>
          </w:tcPr>
          <w:p>
            <w:r>
              <w:rPr>
                <w:b w:val="false"/>
                <w:bCs w:val="false"/>
                <w:sz w:val="20"/>
                <w:szCs w:val="20"/>
              </w:rPr>
              <w:t xml:space="preserve">POST</w:t>
            </w:r>
          </w:p>
        </w:tc>
        <w:tc>
          <w:tcPr>
            <w:tcW w:type="dxa" w:w="5400"/>
            <w:vAlign w:val="center"/>
          </w:tcPr>
          <w:p>
            <w:r>
              <w:rPr>
                <w:b w:val="false"/>
                <w:bCs w:val="false"/>
                <w:sz w:val="20"/>
                <w:szCs w:val="20"/>
              </w:rPr>
              <w:t xml:space="preserve">/api/v1/projects</w:t>
            </w:r>
          </w:p>
        </w:tc>
        <w:tc>
          <w:tcPr>
            <w:tcW w:type="dxa" w:w="1600"/>
            <w:vAlign w:val="center"/>
          </w:tcPr>
          <w:p>
            <w:r>
              <w:rPr>
                <w:b/>
                <w:bCs/>
                <w:color w:val="1E7B34"/>
                <w:sz w:val="20"/>
                <w:szCs w:val="20"/>
              </w:rPr>
              <w:t xml:space="preserve">Done</w:t>
            </w:r>
          </w:p>
        </w:tc>
      </w:tr>
      <w:tr>
        <w:tc>
          <w:tcPr>
            <w:tcW w:type="dxa" w:w="1400"/>
            <w:vAlign w:val="center"/>
          </w:tcPr>
          <w:p>
            <w:r>
              <w:rPr>
                <w:b w:val="false"/>
                <w:bCs w:val="false"/>
                <w:sz w:val="20"/>
                <w:szCs w:val="20"/>
              </w:rPr>
              <w:t xml:space="preserve">GET</w:t>
            </w:r>
          </w:p>
        </w:tc>
        <w:tc>
          <w:tcPr>
            <w:tcW w:type="dxa" w:w="5400"/>
            <w:vAlign w:val="center"/>
          </w:tcPr>
          <w:p>
            <w:r>
              <w:rPr>
                <w:b w:val="false"/>
                <w:bCs w:val="false"/>
                <w:sz w:val="20"/>
                <w:szCs w:val="20"/>
              </w:rPr>
              <w:t xml:space="preserve">/api/v1/projects</w:t>
            </w:r>
          </w:p>
        </w:tc>
        <w:tc>
          <w:tcPr>
            <w:tcW w:type="dxa" w:w="1600"/>
            <w:vAlign w:val="center"/>
          </w:tcPr>
          <w:p>
            <w:r>
              <w:rPr>
                <w:b/>
                <w:bCs/>
                <w:color w:val="1E7B34"/>
                <w:sz w:val="20"/>
                <w:szCs w:val="20"/>
              </w:rPr>
              <w:t xml:space="preserve">Done</w:t>
            </w:r>
          </w:p>
        </w:tc>
      </w:tr>
      <w:tr>
        <w:tc>
          <w:tcPr>
            <w:tcW w:type="dxa" w:w="1400"/>
            <w:vAlign w:val="center"/>
          </w:tcPr>
          <w:p>
            <w:r>
              <w:rPr>
                <w:b w:val="false"/>
                <w:bCs w:val="false"/>
                <w:sz w:val="20"/>
                <w:szCs w:val="20"/>
              </w:rPr>
              <w:t xml:space="preserve">GET</w:t>
            </w:r>
          </w:p>
        </w:tc>
        <w:tc>
          <w:tcPr>
            <w:tcW w:type="dxa" w:w="5400"/>
            <w:vAlign w:val="center"/>
          </w:tcPr>
          <w:p>
            <w:r>
              <w:rPr>
                <w:b w:val="false"/>
                <w:bCs w:val="false"/>
                <w:sz w:val="20"/>
                <w:szCs w:val="20"/>
              </w:rPr>
              <w:t xml:space="preserve">/api/v1/projects/{id}/info</w:t>
            </w:r>
          </w:p>
        </w:tc>
        <w:tc>
          <w:tcPr>
            <w:tcW w:type="dxa" w:w="1600"/>
            <w:vAlign w:val="center"/>
          </w:tcPr>
          <w:p>
            <w:r>
              <w:rPr>
                <w:b/>
                <w:bCs/>
                <w:color w:val="1E7B34"/>
                <w:sz w:val="20"/>
                <w:szCs w:val="20"/>
              </w:rPr>
              <w:t xml:space="preserve">Done</w:t>
            </w:r>
          </w:p>
        </w:tc>
      </w:tr>
      <w:tr>
        <w:tc>
          <w:tcPr>
            <w:tcW w:type="dxa" w:w="1400"/>
            <w:vAlign w:val="center"/>
          </w:tcPr>
          <w:p>
            <w:r>
              <w:rPr>
                <w:b w:val="false"/>
                <w:bCs w:val="false"/>
                <w:sz w:val="20"/>
                <w:szCs w:val="20"/>
              </w:rPr>
              <w:t xml:space="preserve">PUT</w:t>
            </w:r>
          </w:p>
        </w:tc>
        <w:tc>
          <w:tcPr>
            <w:tcW w:type="dxa" w:w="5400"/>
            <w:vAlign w:val="center"/>
          </w:tcPr>
          <w:p>
            <w:r>
              <w:rPr>
                <w:b w:val="false"/>
                <w:bCs w:val="false"/>
                <w:sz w:val="20"/>
                <w:szCs w:val="20"/>
              </w:rPr>
              <w:t xml:space="preserve">/api/v1/projects/{id}/info</w:t>
            </w:r>
          </w:p>
        </w:tc>
        <w:tc>
          <w:tcPr>
            <w:tcW w:type="dxa" w:w="1600"/>
            <w:vAlign w:val="center"/>
          </w:tcPr>
          <w:p>
            <w:r>
              <w:rPr>
                <w:b/>
                <w:bCs/>
                <w:color w:val="1E7B34"/>
                <w:sz w:val="20"/>
                <w:szCs w:val="20"/>
              </w:rPr>
              <w:t xml:space="preserve">Done</w:t>
            </w:r>
          </w:p>
        </w:tc>
      </w:tr>
      <w:tr>
        <w:tc>
          <w:tcPr>
            <w:tcW w:type="dxa" w:w="1400"/>
            <w:vAlign w:val="center"/>
          </w:tcPr>
          <w:p>
            <w:r>
              <w:rPr>
                <w:b w:val="false"/>
                <w:bCs w:val="false"/>
                <w:sz w:val="20"/>
                <w:szCs w:val="20"/>
              </w:rPr>
              <w:t xml:space="preserve">DELETE</w:t>
            </w:r>
          </w:p>
        </w:tc>
        <w:tc>
          <w:tcPr>
            <w:tcW w:type="dxa" w:w="5400"/>
            <w:vAlign w:val="center"/>
          </w:tcPr>
          <w:p>
            <w:r>
              <w:rPr>
                <w:b w:val="false"/>
                <w:bCs w:val="false"/>
                <w:sz w:val="20"/>
                <w:szCs w:val="20"/>
              </w:rPr>
              <w:t xml:space="preserve">/api/v1/projects/{id}</w:t>
            </w:r>
          </w:p>
        </w:tc>
        <w:tc>
          <w:tcPr>
            <w:tcW w:type="dxa" w:w="1600"/>
            <w:vAlign w:val="center"/>
          </w:tcPr>
          <w:p>
            <w:r>
              <w:rPr>
                <w:b/>
                <w:bCs/>
                <w:color w:val="1E7B34"/>
                <w:sz w:val="20"/>
                <w:szCs w:val="20"/>
              </w:rPr>
              <w:t xml:space="preserve">Done</w:t>
            </w:r>
          </w:p>
        </w:tc>
      </w:tr>
      <w:tr>
        <w:tc>
          <w:tcPr>
            <w:tcW w:type="dxa" w:w="1400"/>
            <w:vAlign w:val="center"/>
          </w:tcPr>
          <w:p>
            <w:r>
              <w:rPr>
                <w:b w:val="false"/>
                <w:bCs w:val="false"/>
                <w:sz w:val="20"/>
                <w:szCs w:val="20"/>
              </w:rPr>
              <w:t xml:space="preserve">GET</w:t>
            </w:r>
          </w:p>
        </w:tc>
        <w:tc>
          <w:tcPr>
            <w:tcW w:type="dxa" w:w="5400"/>
            <w:vAlign w:val="center"/>
          </w:tcPr>
          <w:p>
            <w:r>
              <w:rPr>
                <w:b w:val="false"/>
                <w:bCs w:val="false"/>
                <w:sz w:val="20"/>
                <w:szCs w:val="20"/>
              </w:rPr>
              <w:t xml:space="preserve">/api/v1/projects/{id}/documents</w:t>
            </w:r>
          </w:p>
        </w:tc>
        <w:tc>
          <w:tcPr>
            <w:tcW w:type="dxa" w:w="1600"/>
            <w:vAlign w:val="center"/>
          </w:tcPr>
          <w:p>
            <w:r>
              <w:rPr>
                <w:b/>
                <w:bCs/>
                <w:color w:val="1E7B34"/>
                <w:sz w:val="20"/>
                <w:szCs w:val="20"/>
              </w:rPr>
              <w:t xml:space="preserve">Done</w:t>
            </w:r>
          </w:p>
        </w:tc>
      </w:tr>
      <w:tr>
        <w:tc>
          <w:tcPr>
            <w:tcW w:type="dxa" w:w="1400"/>
            <w:vAlign w:val="center"/>
          </w:tcPr>
          <w:p>
            <w:r>
              <w:rPr>
                <w:b w:val="false"/>
                <w:bCs w:val="false"/>
                <w:sz w:val="20"/>
                <w:szCs w:val="20"/>
              </w:rPr>
              <w:t xml:space="preserve">POST</w:t>
            </w:r>
          </w:p>
        </w:tc>
        <w:tc>
          <w:tcPr>
            <w:tcW w:type="dxa" w:w="5400"/>
            <w:vAlign w:val="center"/>
          </w:tcPr>
          <w:p>
            <w:r>
              <w:rPr>
                <w:b w:val="false"/>
                <w:bCs w:val="false"/>
                <w:sz w:val="20"/>
                <w:szCs w:val="20"/>
              </w:rPr>
              <w:t xml:space="preserve">/api/v1/projects/{id}/documents</w:t>
            </w:r>
          </w:p>
        </w:tc>
        <w:tc>
          <w:tcPr>
            <w:tcW w:type="dxa" w:w="1600"/>
            <w:vAlign w:val="center"/>
          </w:tcPr>
          <w:p>
            <w:r>
              <w:rPr>
                <w:b/>
                <w:bCs/>
                <w:color w:val="1E7B34"/>
                <w:sz w:val="20"/>
                <w:szCs w:val="20"/>
              </w:rPr>
              <w:t xml:space="preserve">Done</w:t>
            </w:r>
          </w:p>
        </w:tc>
      </w:tr>
      <w:tr>
        <w:tc>
          <w:tcPr>
            <w:tcW w:type="dxa" w:w="1400"/>
            <w:vAlign w:val="center"/>
          </w:tcPr>
          <w:p>
            <w:r>
              <w:rPr>
                <w:b w:val="false"/>
                <w:bCs w:val="false"/>
                <w:sz w:val="20"/>
                <w:szCs w:val="20"/>
              </w:rPr>
              <w:t xml:space="preserve">GET</w:t>
            </w:r>
          </w:p>
        </w:tc>
        <w:tc>
          <w:tcPr>
            <w:tcW w:type="dxa" w:w="5400"/>
            <w:vAlign w:val="center"/>
          </w:tcPr>
          <w:p>
            <w:r>
              <w:rPr>
                <w:b w:val="false"/>
                <w:bCs w:val="false"/>
                <w:sz w:val="20"/>
                <w:szCs w:val="20"/>
              </w:rPr>
              <w:t xml:space="preserve">/api/v1/documents/{id}</w:t>
            </w:r>
          </w:p>
        </w:tc>
        <w:tc>
          <w:tcPr>
            <w:tcW w:type="dxa" w:w="1600"/>
            <w:vAlign w:val="center"/>
          </w:tcPr>
          <w:p>
            <w:r>
              <w:rPr>
                <w:b/>
                <w:bCs/>
                <w:color w:val="1E7B34"/>
                <w:sz w:val="20"/>
                <w:szCs w:val="20"/>
              </w:rPr>
              <w:t xml:space="preserve">Done</w:t>
            </w:r>
          </w:p>
        </w:tc>
      </w:tr>
      <w:tr>
        <w:tc>
          <w:tcPr>
            <w:tcW w:type="dxa" w:w="1400"/>
            <w:vAlign w:val="center"/>
          </w:tcPr>
          <w:p>
            <w:r>
              <w:rPr>
                <w:b w:val="false"/>
                <w:bCs w:val="false"/>
                <w:sz w:val="20"/>
                <w:szCs w:val="20"/>
              </w:rPr>
              <w:t xml:space="preserve">PUT</w:t>
            </w:r>
          </w:p>
        </w:tc>
        <w:tc>
          <w:tcPr>
            <w:tcW w:type="dxa" w:w="5400"/>
            <w:vAlign w:val="center"/>
          </w:tcPr>
          <w:p>
            <w:r>
              <w:rPr>
                <w:b w:val="false"/>
                <w:bCs w:val="false"/>
                <w:sz w:val="20"/>
                <w:szCs w:val="20"/>
              </w:rPr>
              <w:t xml:space="preserve">/api/v1/documents/{id}</w:t>
            </w:r>
          </w:p>
        </w:tc>
        <w:tc>
          <w:tcPr>
            <w:tcW w:type="dxa" w:w="1600"/>
            <w:vAlign w:val="center"/>
          </w:tcPr>
          <w:p>
            <w:r>
              <w:rPr>
                <w:b/>
                <w:bCs/>
                <w:color w:val="1E7B34"/>
                <w:sz w:val="20"/>
                <w:szCs w:val="20"/>
              </w:rPr>
              <w:t xml:space="preserve">Done</w:t>
            </w:r>
          </w:p>
        </w:tc>
      </w:tr>
      <w:tr>
        <w:tc>
          <w:tcPr>
            <w:tcW w:type="dxa" w:w="1400"/>
            <w:vAlign w:val="center"/>
          </w:tcPr>
          <w:p>
            <w:r>
              <w:rPr>
                <w:b w:val="false"/>
                <w:bCs w:val="false"/>
                <w:sz w:val="20"/>
                <w:szCs w:val="20"/>
              </w:rPr>
              <w:t xml:space="preserve">DELETE</w:t>
            </w:r>
          </w:p>
        </w:tc>
        <w:tc>
          <w:tcPr>
            <w:tcW w:type="dxa" w:w="5400"/>
            <w:vAlign w:val="center"/>
          </w:tcPr>
          <w:p>
            <w:r>
              <w:rPr>
                <w:b w:val="false"/>
                <w:bCs w:val="false"/>
                <w:sz w:val="20"/>
                <w:szCs w:val="20"/>
              </w:rPr>
              <w:t xml:space="preserve">/api/v1/documents/{id}</w:t>
            </w:r>
          </w:p>
        </w:tc>
        <w:tc>
          <w:tcPr>
            <w:tcW w:type="dxa" w:w="1600"/>
            <w:vAlign w:val="center"/>
          </w:tcPr>
          <w:p>
            <w:r>
              <w:rPr>
                <w:b/>
                <w:bCs/>
                <w:color w:val="1E7B34"/>
                <w:sz w:val="20"/>
                <w:szCs w:val="20"/>
              </w:rPr>
              <w:t xml:space="preserve">Done</w:t>
            </w:r>
          </w:p>
        </w:tc>
      </w:tr>
      <w:tr>
        <w:tc>
          <w:tcPr>
            <w:tcW w:type="dxa" w:w="1400"/>
            <w:vAlign w:val="center"/>
          </w:tcPr>
          <w:p>
            <w:r>
              <w:rPr>
                <w:b w:val="false"/>
                <w:bCs w:val="false"/>
                <w:sz w:val="20"/>
                <w:szCs w:val="20"/>
              </w:rPr>
              <w:t xml:space="preserve">POST</w:t>
            </w:r>
          </w:p>
        </w:tc>
        <w:tc>
          <w:tcPr>
            <w:tcW w:type="dxa" w:w="5400"/>
            <w:vAlign w:val="center"/>
          </w:tcPr>
          <w:p>
            <w:r>
              <w:rPr>
                <w:b w:val="false"/>
                <w:bCs w:val="false"/>
                <w:sz w:val="20"/>
                <w:szCs w:val="20"/>
              </w:rPr>
              <w:t xml:space="preserve">/api/v1/projects/{id}/invite</w:t>
            </w:r>
          </w:p>
        </w:tc>
        <w:tc>
          <w:tcPr>
            <w:tcW w:type="dxa" w:w="1600"/>
            <w:vAlign w:val="center"/>
          </w:tcPr>
          <w:p>
            <w:r>
              <w:rPr>
                <w:b/>
                <w:bCs/>
                <w:color w:val="1E7B34"/>
                <w:sz w:val="20"/>
                <w:szCs w:val="20"/>
              </w:rPr>
              <w:t xml:space="preserve">Done</w:t>
            </w:r>
          </w:p>
        </w:tc>
      </w:tr>
      <w:tr>
        <w:tc>
          <w:tcPr>
            <w:tcW w:type="dxa" w:w="1400"/>
            <w:vAlign w:val="center"/>
          </w:tcPr>
          <w:p>
            <w:r>
              <w:rPr>
                <w:b w:val="false"/>
                <w:bCs w:val="false"/>
                <w:sz w:val="20"/>
                <w:szCs w:val="20"/>
              </w:rPr>
              <w:t xml:space="preserve">GET</w:t>
            </w:r>
          </w:p>
        </w:tc>
        <w:tc>
          <w:tcPr>
            <w:tcW w:type="dxa" w:w="5400"/>
            <w:vAlign w:val="center"/>
          </w:tcPr>
          <w:p>
            <w:r>
              <w:rPr>
                <w:b w:val="false"/>
                <w:bCs w:val="false"/>
                <w:sz w:val="20"/>
                <w:szCs w:val="20"/>
              </w:rPr>
              <w:t xml:space="preserve">/api/v1/projects/{id}/share?with=&lt;email&gt;</w:t>
            </w:r>
          </w:p>
        </w:tc>
        <w:tc>
          <w:tcPr>
            <w:tcW w:type="dxa" w:w="1600"/>
            <w:vAlign w:val="center"/>
          </w:tcPr>
          <w:p>
            <w:r>
              <w:rPr>
                <w:b/>
                <w:bCs/>
                <w:color w:val="1E7B34"/>
                <w:sz w:val="20"/>
                <w:szCs w:val="20"/>
              </w:rPr>
              <w:t xml:space="preserve">Implemented</w:t>
            </w:r>
          </w:p>
        </w:tc>
      </w:tr>
      <w:tr>
        <w:tc>
          <w:tcPr>
            <w:tcW w:type="dxa" w:w="1400"/>
            <w:vAlign w:val="center"/>
          </w:tcPr>
          <w:p>
            <w:r>
              <w:rPr>
                <w:b w:val="false"/>
                <w:bCs w:val="false"/>
                <w:sz w:val="20"/>
                <w:szCs w:val="20"/>
              </w:rPr>
              <w:t xml:space="preserve">GET</w:t>
            </w:r>
          </w:p>
        </w:tc>
        <w:tc>
          <w:tcPr>
            <w:tcW w:type="dxa" w:w="5400"/>
            <w:vAlign w:val="center"/>
          </w:tcPr>
          <w:p>
            <w:r>
              <w:rPr>
                <w:b w:val="false"/>
                <w:bCs w:val="false"/>
                <w:sz w:val="20"/>
                <w:szCs w:val="20"/>
              </w:rPr>
              <w:t xml:space="preserve">/api/v1/join?token=&lt;token&gt;</w:t>
            </w:r>
          </w:p>
        </w:tc>
        <w:tc>
          <w:tcPr>
            <w:tcW w:type="dxa" w:w="1600"/>
            <w:vAlign w:val="center"/>
          </w:tcPr>
          <w:p>
            <w:r>
              <w:rPr>
                <w:b/>
                <w:bCs/>
                <w:color w:val="1E7B34"/>
                <w:sz w:val="20"/>
                <w:szCs w:val="20"/>
              </w:rPr>
              <w:t xml:space="preserve">Implemented</w:t>
            </w:r>
          </w:p>
        </w:tc>
      </w:tr>
      <w:tr>
        <w:tc>
          <w:tcPr>
            <w:tcW w:type="dxa" w:w="1400"/>
            <w:vAlign w:val="center"/>
          </w:tcPr>
          <w:p>
            <w:r>
              <w:rPr>
                <w:b w:val="false"/>
                <w:bCs w:val="false"/>
                <w:sz w:val="20"/>
                <w:szCs w:val="20"/>
              </w:rPr>
              <w:t xml:space="preserve">GET</w:t>
            </w:r>
          </w:p>
        </w:tc>
        <w:tc>
          <w:tcPr>
            <w:tcW w:type="dxa" w:w="5400"/>
            <w:vAlign w:val="center"/>
          </w:tcPr>
          <w:p>
            <w:r>
              <w:rPr>
                <w:b w:val="false"/>
                <w:bCs w:val="false"/>
                <w:sz w:val="20"/>
                <w:szCs w:val="20"/>
              </w:rPr>
              <w:t xml:space="preserve">/api/v1/projects/{id}/storage</w:t>
            </w:r>
          </w:p>
        </w:tc>
        <w:tc>
          <w:tcPr>
            <w:tcW w:type="dxa" w:w="1600"/>
            <w:vAlign w:val="center"/>
          </w:tcPr>
          <w:p>
            <w:r>
              <w:rPr>
                <w:b/>
                <w:bCs/>
                <w:color w:val="1E7B34"/>
                <w:sz w:val="20"/>
                <w:szCs w:val="20"/>
              </w:rPr>
              <w:t xml:space="preserve">Done</w:t>
            </w:r>
          </w:p>
        </w:tc>
      </w:tr>
    </w:tbl>
    <w:p>
      <w:pPr>
        <w:spacing w:after="120"/>
      </w:pPr>
      <w:r>
        <w:t xml:space="preserve"/>
      </w:r>
    </w:p>
    <w:p>
      <w:pPr>
        <w:spacing w:after="120"/>
      </w:pPr>
      <w:r>
        <w:rPr>
          <w:sz w:val="20"/>
          <w:szCs w:val="20"/>
        </w:rPr>
        <w:t xml:space="preserve">Access control: two roles enforced on every project-scoped route — owner (full control incl. delete) and participant (read/modify, no delete), matching the spec's implementation notes.</w:t>
      </w:r>
    </w:p>
    <w:p>
      <w:pPr>
        <w:spacing w:after="120"/>
      </w:pPr>
      <w:r>
        <w:rPr>
          <w:sz w:val="20"/>
          <w:szCs w:val="20"/>
        </w:rPr>
        <w:t xml:space="preserve">All responses are JSON with proper HTTP status codes (except raw file downloads); all request bodies are Pydantic-validated.</w:t>
      </w:r>
    </w:p>
    <w:p>
      <w:pPr>
        <w:pStyle w:val="Heading1"/>
        <w:spacing w:after="160" w:before="320"/>
      </w:pPr>
      <w:r>
        <w:t xml:space="preserve">3. Phase 2 Additional Requirements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800"/>
        <w:gridCol w:w="1600"/>
      </w:tblGrid>
      <w:tr>
        <w:trPr>
          <w:tblHeader/>
        </w:trPr>
        <w:tc>
          <w:tcPr>
            <w:tcW w:type="dxa" w:w="6800"/>
            <w:shd w:fill="2E5AAC" w:val="clear"/>
            <w:vAlign w:val="center"/>
          </w:tcPr>
          <w:p>
            <w:r>
              <w:rPr>
                <w:b/>
                <w:bCs/>
                <w:color w:val="FFFFFF"/>
                <w:sz w:val="20"/>
                <w:szCs w:val="20"/>
              </w:rPr>
              <w:t xml:space="preserve">Requirement</w:t>
            </w:r>
          </w:p>
        </w:tc>
        <w:tc>
          <w:tcPr>
            <w:tcW w:type="dxa" w:w="1600"/>
            <w:shd w:fill="2E5AAC" w:val="clear"/>
            <w:vAlign w:val="center"/>
          </w:tcPr>
          <w:p>
            <w:r>
              <w:rPr>
                <w:b/>
                <w:bCs/>
                <w:color w:val="FFFFFF"/>
                <w:sz w:val="20"/>
                <w:szCs w:val="20"/>
              </w:rPr>
              <w:t xml:space="preserve">Status</w:t>
            </w:r>
          </w:p>
        </w:tc>
      </w:tr>
      <w:tr>
        <w:tc>
          <w:tcPr>
            <w:tcW w:type="dxa" w:w="6800"/>
            <w:vAlign w:val="center"/>
          </w:tcPr>
          <w:p>
            <w:r>
              <w:rPr>
                <w:b w:val="false"/>
                <w:bCs w:val="false"/>
                <w:sz w:val="20"/>
                <w:szCs w:val="20"/>
              </w:rPr>
              <w:t xml:space="preserve">Normalization + denormalization of DB tables — documented rationale (3NF schema) + a worked denormalized materialized-view example</w:t>
            </w:r>
          </w:p>
        </w:tc>
        <w:tc>
          <w:tcPr>
            <w:tcW w:type="dxa" w:w="1600"/>
            <w:vAlign w:val="center"/>
          </w:tcPr>
          <w:p>
            <w:r>
              <w:rPr>
                <w:b/>
                <w:bCs/>
                <w:color w:val="2E5AAC"/>
                <w:sz w:val="20"/>
                <w:szCs w:val="20"/>
              </w:rPr>
              <w:t xml:space="preserve">Documented</w:t>
            </w:r>
          </w:p>
        </w:tc>
      </w:tr>
      <w:tr>
        <w:tc>
          <w:tcPr>
            <w:tcW w:type="dxa" w:w="6800"/>
            <w:vAlign w:val="center"/>
          </w:tcPr>
          <w:p>
            <w:r>
              <w:rPr>
                <w:b w:val="false"/>
                <w:bCs w:val="false"/>
                <w:sz w:val="20"/>
                <w:szCs w:val="20"/>
              </w:rPr>
              <w:t xml:space="preserve">DB creation with and without an ORM — SQLAlchemy/Alembic migrations (used by the app) + hand-written sql/schema.sql (verified to apply cleanly)</w:t>
            </w:r>
          </w:p>
        </w:tc>
        <w:tc>
          <w:tcPr>
            <w:tcW w:type="dxa" w:w="1600"/>
            <w:vAlign w:val="center"/>
          </w:tcPr>
          <w:p>
            <w:r>
              <w:rPr>
                <w:b/>
                <w:bCs/>
                <w:color w:val="1E7B34"/>
                <w:sz w:val="20"/>
                <w:szCs w:val="20"/>
              </w:rPr>
              <w:t xml:space="preserve">Implemented</w:t>
            </w:r>
          </w:p>
        </w:tc>
      </w:tr>
      <w:tr>
        <w:tc>
          <w:tcPr>
            <w:tcW w:type="dxa" w:w="6800"/>
            <w:vAlign w:val="center"/>
          </w:tcPr>
          <w:p>
            <w:r>
              <w:rPr>
                <w:b w:val="false"/>
                <w:bCs w:val="false"/>
                <w:sz w:val="20"/>
                <w:szCs w:val="20"/>
              </w:rPr>
              <w:t xml:space="preserve">S3 + Lambda: sum of project file sizes on S3 events, 100MB limit enforced (both at upload time in the API and reconciled asynchronously by the Lambda)</w:t>
            </w:r>
          </w:p>
        </w:tc>
        <w:tc>
          <w:tcPr>
            <w:tcW w:type="dxa" w:w="1600"/>
            <w:vAlign w:val="center"/>
          </w:tcPr>
          <w:p>
            <w:r>
              <w:rPr>
                <w:b/>
                <w:bCs/>
                <w:color w:val="1E7B34"/>
                <w:sz w:val="20"/>
                <w:szCs w:val="20"/>
              </w:rPr>
              <w:t xml:space="preserve">Done</w:t>
            </w:r>
          </w:p>
        </w:tc>
      </w:tr>
      <w:tr>
        <w:tc>
          <w:tcPr>
            <w:tcW w:type="dxa" w:w="6800"/>
            <w:vAlign w:val="center"/>
          </w:tcPr>
          <w:p>
            <w:r>
              <w:rPr>
                <w:b w:val="false"/>
                <w:bCs w:val="false"/>
                <w:sz w:val="20"/>
                <w:szCs w:val="20"/>
              </w:rPr>
              <w:t xml:space="preserve">Tests, CI/CD bindings — 80 automated tests; GitHub Actions: lint (ruff) → type-check (mypy) → test → Docker build &amp; push → deploy</w:t>
            </w:r>
          </w:p>
        </w:tc>
        <w:tc>
          <w:tcPr>
            <w:tcW w:type="dxa" w:w="1600"/>
            <w:vAlign w:val="center"/>
          </w:tcPr>
          <w:p>
            <w:r>
              <w:rPr>
                <w:b/>
                <w:bCs/>
                <w:color w:val="1E7B34"/>
                <w:sz w:val="20"/>
                <w:szCs w:val="20"/>
              </w:rPr>
              <w:t xml:space="preserve">Done</w:t>
            </w:r>
          </w:p>
        </w:tc>
      </w:tr>
      <w:tr>
        <w:tc>
          <w:tcPr>
            <w:tcW w:type="dxa" w:w="6800"/>
            <w:vAlign w:val="center"/>
          </w:tcPr>
          <w:p>
            <w:r>
              <w:rPr>
                <w:b w:val="false"/>
                <w:bCs w:val="false"/>
                <w:sz w:val="20"/>
                <w:szCs w:val="20"/>
              </w:rPr>
              <w:t xml:space="preserve">Packaging — pyproject.toml with full dependency/dev-dependency groups</w:t>
            </w:r>
          </w:p>
        </w:tc>
        <w:tc>
          <w:tcPr>
            <w:tcW w:type="dxa" w:w="1600"/>
            <w:vAlign w:val="center"/>
          </w:tcPr>
          <w:p>
            <w:r>
              <w:rPr>
                <w:b/>
                <w:bCs/>
                <w:color w:val="1E7B34"/>
                <w:sz w:val="20"/>
                <w:szCs w:val="20"/>
              </w:rPr>
              <w:t xml:space="preserve">Done</w:t>
            </w:r>
          </w:p>
        </w:tc>
      </w:tr>
      <w:tr>
        <w:tc>
          <w:tcPr>
            <w:tcW w:type="dxa" w:w="6800"/>
            <w:vAlign w:val="center"/>
          </w:tcPr>
          <w:p>
            <w:r>
              <w:rPr>
                <w:b w:val="false"/>
                <w:bCs w:val="false"/>
                <w:sz w:val="20"/>
                <w:szCs w:val="20"/>
              </w:rPr>
              <w:t xml:space="preserve">All data validated with Pydantic v2</w:t>
            </w:r>
          </w:p>
        </w:tc>
        <w:tc>
          <w:tcPr>
            <w:tcW w:type="dxa" w:w="1600"/>
            <w:vAlign w:val="center"/>
          </w:tcPr>
          <w:p>
            <w:r>
              <w:rPr>
                <w:b/>
                <w:bCs/>
                <w:color w:val="1E7B34"/>
                <w:sz w:val="20"/>
                <w:szCs w:val="20"/>
              </w:rPr>
              <w:t xml:space="preserve">Done</w:t>
            </w:r>
          </w:p>
        </w:tc>
      </w:tr>
      <w:tr>
        <w:tc>
          <w:tcPr>
            <w:tcW w:type="dxa" w:w="6800"/>
            <w:vAlign w:val="center"/>
          </w:tcPr>
          <w:p>
            <w:r>
              <w:rPr>
                <w:b w:val="false"/>
                <w:bCs w:val="false"/>
                <w:sz w:val="20"/>
                <w:szCs w:val="20"/>
              </w:rPr>
              <w:t xml:space="preserve">JWT-authorized business logic, issued by POST /login, 1-hour expiry</w:t>
            </w:r>
          </w:p>
        </w:tc>
        <w:tc>
          <w:tcPr>
            <w:tcW w:type="dxa" w:w="1600"/>
            <w:vAlign w:val="center"/>
          </w:tcPr>
          <w:p>
            <w:r>
              <w:rPr>
                <w:b/>
                <w:bCs/>
                <w:color w:val="1E7B34"/>
                <w:sz w:val="20"/>
                <w:szCs w:val="20"/>
              </w:rPr>
              <w:t xml:space="preserve">Fixed</w:t>
            </w:r>
          </w:p>
        </w:tc>
      </w:tr>
    </w:tbl>
    <w:p>
      <w:pPr>
        <w:spacing w:after="120"/>
      </w:pPr>
      <w:r>
        <w:t xml:space="preserve"/>
      </w:r>
    </w:p>
    <w:p>
      <w:pPr>
        <w:spacing w:after="120"/>
      </w:pPr>
      <w:r>
        <w:rPr>
          <w:i/>
          <w:iCs/>
          <w:sz w:val="20"/>
          <w:szCs w:val="20"/>
        </w:rPr>
        <w:t xml:space="preserve">Note: the JWT-expiry row was a fix made during this work — the access token originally expired in 15 minutes; changed to 60 minutes to match the spec literally. A 7-day refresh-token rotation was kept as an additional security layer beyond the spec's minimum.</w:t>
      </w:r>
    </w:p>
    <w:p>
      <w:r>
        <w:br w:type="page"/>
      </w:r>
    </w:p>
    <w:p>
      <w:pPr>
        <w:pStyle w:val="Heading1"/>
        <w:spacing w:after="160" w:before="320"/>
      </w:pPr>
      <w:r>
        <w:t xml:space="preserve">4. AWS Sandbox — Real AWS Migration &amp; Live Demo</w:t>
      </w:r>
    </w:p>
    <w:p>
      <w:pPr>
        <w:spacing w:after="120"/>
      </w:pPr>
      <w:r>
        <w:t xml:space="preserve">The app was originally developed and tested against LocalStack (an AWS emulator) for local dev. For this submission it was pointed at a real AWS account (EPAM/Syndicate Cloud Sandbox) with zero business-logic changes — config only — and exercised end-to-end.</w:t>
      </w:r>
    </w:p>
    <w:p>
      <w:pPr>
        <w:pStyle w:val="Heading2"/>
        <w:spacing w:after="120" w:before="240"/>
      </w:pPr>
      <w:r>
        <w:t xml:space="preserve">4.1 Sandbox constraints observed</w:t>
      </w:r>
    </w:p>
    <w:p>
      <w:pPr>
        <w:pStyle w:val="ListParagraph"/>
        <w:numPr>
          <w:ilvl w:val="0"/>
          <w:numId w:val="1"/>
        </w:numPr>
        <w:spacing w:after="60"/>
      </w:pPr>
      <w:r>
        <w:t xml:space="preserve">Region: us-east-1 (one of the three permitted — us-east-1 / eu-west-1 / ap-south-1).</w:t>
      </w:r>
    </w:p>
    <w:p>
      <w:pPr>
        <w:pStyle w:val="ListParagraph"/>
        <w:numPr>
          <w:ilvl w:val="0"/>
          <w:numId w:val="1"/>
        </w:numPr>
        <w:spacing w:after="60"/>
      </w:pPr>
      <w:r>
        <w:t xml:space="preserve">No "epam" in any resource name — bucket is project-mgmt-docs-f4a8baae, IAM role is project-mgmt-lambda-role-f4a8baae.</w:t>
      </w:r>
    </w:p>
    <w:p>
      <w:pPr>
        <w:pStyle w:val="ListParagraph"/>
        <w:numPr>
          <w:ilvl w:val="0"/>
          <w:numId w:val="1"/>
        </w:numPr>
        <w:spacing w:after="60"/>
      </w:pPr>
      <w:r>
        <w:t xml:space="preserve">RDS access denied by an org-level SCP — no real network-reachable Postgres available to the sandbox Lambda (see 4.4).</w:t>
      </w:r>
    </w:p>
    <w:p>
      <w:pPr>
        <w:pStyle w:val="ListParagraph"/>
        <w:numPr>
          <w:ilvl w:val="0"/>
          <w:numId w:val="1"/>
        </w:numPr>
        <w:spacing w:after="60"/>
      </w:pPr>
      <w:r>
        <w:t xml:space="preserve">Lambda environment-variable encryption (KMS) denied by the same SCP — worked around with a deploy-only bootstrap.py shim (see 4.3).</w:t>
      </w:r>
    </w:p>
    <w:p>
      <w:pPr>
        <w:pStyle w:val="Heading2"/>
        <w:spacing w:after="120" w:before="240"/>
      </w:pPr>
      <w:r>
        <w:t xml:space="preserve">4.2 Resources created</w:t>
      </w:r>
    </w:p>
    <w:p>
      <w:pPr>
        <w:pStyle w:val="ListParagraph"/>
        <w:numPr>
          <w:ilvl w:val="0"/>
          <w:numId w:val="1"/>
        </w:numPr>
        <w:spacing w:after="60"/>
      </w:pPr>
      <w:r>
        <w:t xml:space="preserve">S3 bucket project-mgmt-docs-f4a8baae — public access fully blocked, default SSE-AES256 encryption.</w:t>
      </w:r>
    </w:p>
    <w:p>
      <w:pPr>
        <w:pStyle w:val="ListParagraph"/>
        <w:numPr>
          <w:ilvl w:val="0"/>
          <w:numId w:val="1"/>
        </w:numPr>
        <w:spacing w:after="60"/>
      </w:pPr>
      <w:r>
        <w:t xml:space="preserve">IAM role project-mgmt-lambda-role-f4a8baae — AWSLambdaBasicExecutionRole + inline S3 read policy scoped to the bucket.</w:t>
      </w:r>
    </w:p>
    <w:p>
      <w:pPr>
        <w:pStyle w:val="ListParagraph"/>
        <w:numPr>
          <w:ilvl w:val="0"/>
          <w:numId w:val="1"/>
        </w:numPr>
        <w:spacing w:after="60"/>
      </w:pPr>
      <w:r>
        <w:t xml:space="preserve">Lambda function project-file-size-calculator (Python 3.12, packaged with psycopg2-binary for manylinux2014).</w:t>
      </w:r>
    </w:p>
    <w:p>
      <w:pPr>
        <w:pStyle w:val="ListParagraph"/>
        <w:numPr>
          <w:ilvl w:val="0"/>
          <w:numId w:val="1"/>
        </w:numPr>
        <w:spacing w:after="60"/>
      </w:pPr>
      <w:r>
        <w:t xml:space="preserve">S3 → Lambda event notification on s3:ObjectCreated:* / s3:ObjectRemoved:*, prefix projects/.</w:t>
      </w:r>
    </w:p>
    <w:p>
      <w:pPr>
        <w:pStyle w:val="Heading2"/>
        <w:spacing w:after="120" w:before="240"/>
      </w:pPr>
      <w:r>
        <w:t xml:space="preserve">4.3 Bugs found and fixed while wiring to real AWS</w:t>
      </w:r>
    </w:p>
    <w:p>
      <w:pPr>
        <w:spacing w:after="120"/>
      </w:pPr>
      <w:r>
        <w:rPr>
          <w:sz w:val="20"/>
          <w:szCs w:val="20"/>
        </w:rPr>
        <w:t xml:space="preserve">None of these are LocalStack-specific — they were latent bugs that never triggered because the app had only ever run inside Docker Compose against LocalStack/moto:</w:t>
      </w:r>
    </w:p>
    <w:p>
      <w:pPr>
        <w:pStyle w:val="ListParagraph"/>
        <w:numPr>
          <w:ilvl w:val="0"/>
          <w:numId w:val="1"/>
        </w:numPr>
        <w:spacing w:after="60"/>
      </w:pPr>
      <w:r>
        <w:t xml:space="preserve">get_s3_client() didn't support STS session tokens — sandbox credentials are temporary and require AWS_SESSION_TOKEN; added support in app/core/config.py and app/services/s3_service.py.</w:t>
      </w:r>
    </w:p>
    <w:p>
      <w:pPr>
        <w:pStyle w:val="ListParagraph"/>
        <w:numPr>
          <w:ilvl w:val="0"/>
          <w:numId w:val="1"/>
        </w:numPr>
        <w:spacing w:after="60"/>
      </w:pPr>
      <w:r>
        <w:t xml:space="preserve">Alembic's env.py stripped +asyncpg from the DB URL before handing it to an async engine, causing it to try (and fail) to import the sync psycopg2 driver. Fixed by keeping the async URL intact.</w:t>
      </w:r>
    </w:p>
    <w:p>
      <w:pPr>
        <w:pStyle w:val="ListParagraph"/>
        <w:numPr>
          <w:ilvl w:val="0"/>
          <w:numId w:val="1"/>
        </w:numPr>
        <w:spacing w:after="60"/>
      </w:pPr>
      <w:r>
        <w:t xml:space="preserve">Migration 0001 created the project_role Postgres enum twice (once via raw SQL, once implicitly via the SQLAlchemy column definition), causing DuplicateObjectError on a clean database. Fixed by removing the redundant manual statement.</w:t>
      </w:r>
    </w:p>
    <w:p>
      <w:pPr>
        <w:pStyle w:val="ListParagraph"/>
        <w:numPr>
          <w:ilvl w:val="0"/>
          <w:numId w:val="1"/>
        </w:numPr>
        <w:spacing w:after="60"/>
      </w:pPr>
      <w:r>
        <w:t xml:space="preserve">Settings rejected the .env file's docker-compose-only POSTGRES_* variables under a newer pydantic-settings default. Fixed with extra="ignore".</w:t>
      </w:r>
    </w:p>
    <w:p>
      <w:pPr>
        <w:pStyle w:val="ListParagraph"/>
        <w:numPr>
          <w:ilvl w:val="0"/>
          <w:numId w:val="1"/>
        </w:numPr>
        <w:spacing w:after="60"/>
      </w:pPr>
      <w:r>
        <w:t xml:space="preserve">Lambda's built-in encrypted environment variables couldn't be used at all (KMS denied by SCP) — solved with a small deploy-only bootstrap.py that sets os.environ before importing the unmodified handler from file_size_calculator.py.</w:t>
      </w:r>
    </w:p>
    <w:p>
      <w:pPr>
        <w:pStyle w:val="Heading2"/>
        <w:spacing w:after="120" w:before="240"/>
      </w:pPr>
      <w:r>
        <w:t xml:space="preserve">4.4 End-to-end live verification</w:t>
      </w:r>
    </w:p>
    <w:p>
      <w:pPr>
        <w:spacing w:after="120"/>
      </w:pPr>
      <w:r>
        <w:rPr>
          <w:sz w:val="20"/>
          <w:szCs w:val="20"/>
        </w:rPr>
        <w:t xml:space="preserve">Ran the full stack (Postgres in Docker, FastAPI via uvicorn, real AWS credentials) and exercised the golden path against actual AWS:</w:t>
      </w:r>
    </w:p>
    <w:p>
      <w:pPr>
        <w:shd w:fill="F2F2F2" w:val="clear"/>
        <w:spacing w:after="40"/>
      </w:pPr>
      <w:r>
        <w:rPr>
          <w:rFonts w:ascii="Consolas" w:cs="Consolas" w:eastAsia="Consolas" w:hAnsi="Consolas"/>
          <w:sz w:val="18"/>
          <w:szCs w:val="18"/>
        </w:rPr>
        <w:t xml:space="preserve">POST /api/v1/auth/register  →  201 Created</w:t>
      </w:r>
    </w:p>
    <w:p>
      <w:pPr>
        <w:shd w:fill="F2F2F2" w:val="clear"/>
        <w:spacing w:after="40"/>
      </w:pPr>
      <w:r>
        <w:rPr>
          <w:rFonts w:ascii="Consolas" w:cs="Consolas" w:eastAsia="Consolas" w:hAnsi="Consolas"/>
          <w:sz w:val="18"/>
          <w:szCs w:val="18"/>
        </w:rPr>
        <w:t xml:space="preserve">POST /api/v1/auth/login     →  200 OK, access_expires_in=3600 (1h, per spec)</w:t>
      </w:r>
    </w:p>
    <w:p>
      <w:pPr>
        <w:shd w:fill="F2F2F2" w:val="clear"/>
        <w:spacing w:after="40"/>
      </w:pPr>
      <w:r>
        <w:rPr>
          <w:rFonts w:ascii="Consolas" w:cs="Consolas" w:eastAsia="Consolas" w:hAnsi="Consolas"/>
          <w:sz w:val="18"/>
          <w:szCs w:val="18"/>
        </w:rPr>
        <w:t xml:space="preserve">POST /api/v1/projects       →  201 Created</w:t>
      </w:r>
    </w:p>
    <w:p>
      <w:pPr>
        <w:shd w:fill="F2F2F2" w:val="clear"/>
        <w:spacing w:after="40"/>
      </w:pPr>
      <w:r>
        <w:rPr>
          <w:rFonts w:ascii="Consolas" w:cs="Consolas" w:eastAsia="Consolas" w:hAnsi="Consolas"/>
          <w:sz w:val="18"/>
          <w:szCs w:val="18"/>
        </w:rPr>
        <w:t xml:space="preserve">POST /api/v1/projects/{id}/documents  →  200 OK (uploaded to real S3)</w:t>
      </w:r>
    </w:p>
    <w:p>
      <w:pPr>
        <w:shd w:fill="F2F2F2" w:val="clear"/>
        <w:spacing w:after="40"/>
      </w:pPr>
      <w:r>
        <w:rPr>
          <w:rFonts w:ascii="Consolas" w:cs="Consolas" w:eastAsia="Consolas" w:hAnsi="Consolas"/>
          <w:sz w:val="18"/>
          <w:szCs w:val="18"/>
        </w:rPr>
        <w:t xml:space="preserve">  verified independently via s3.list_objects_v2(): object present, 63 bytes</w:t>
      </w:r>
    </w:p>
    <w:p>
      <w:pPr>
        <w:shd w:fill="F2F2F2" w:val="clear"/>
        <w:spacing w:after="40"/>
      </w:pPr>
      <w:r>
        <w:rPr>
          <w:rFonts w:ascii="Consolas" w:cs="Consolas" w:eastAsia="Consolas" w:hAnsi="Consolas"/>
          <w:sz w:val="18"/>
          <w:szCs w:val="18"/>
        </w:rPr>
        <w:t xml:space="preserve">CloudWatch Logs: S3 ObjectCreated correctly triggered the real Lambda,</w:t>
      </w:r>
    </w:p>
    <w:p>
      <w:pPr>
        <w:shd w:fill="F2F2F2" w:val="clear"/>
        <w:spacing w:after="40"/>
      </w:pPr>
      <w:r>
        <w:rPr>
          <w:rFonts w:ascii="Consolas" w:cs="Consolas" w:eastAsia="Consolas" w:hAnsi="Consolas"/>
          <w:sz w:val="18"/>
          <w:szCs w:val="18"/>
        </w:rPr>
        <w:t xml:space="preserve">  which parsed the project/document IDs from the key and began the size</w:t>
      </w:r>
    </w:p>
    <w:p>
      <w:pPr>
        <w:shd w:fill="F2F2F2" w:val="clear"/>
        <w:spacing w:after="40"/>
      </w:pPr>
      <w:r>
        <w:rPr>
          <w:rFonts w:ascii="Consolas" w:cs="Consolas" w:eastAsia="Consolas" w:hAnsi="Consolas"/>
          <w:sz w:val="18"/>
          <w:szCs w:val="18"/>
        </w:rPr>
        <w:t xml:space="preserve">  calculation. The DB-write step fails with "connection refused" — expected,</w:t>
      </w:r>
    </w:p>
    <w:p>
      <w:pPr>
        <w:shd w:fill="F2F2F2" w:val="clear"/>
        <w:spacing w:after="40"/>
      </w:pPr>
      <w:r>
        <w:rPr>
          <w:rFonts w:ascii="Consolas" w:cs="Consolas" w:eastAsia="Consolas" w:hAnsi="Consolas"/>
          <w:sz w:val="18"/>
          <w:szCs w:val="18"/>
        </w:rPr>
        <w:t xml:space="preserve">  since no RDS is available in this sandbox (see 4.1). Production would run</w:t>
      </w:r>
    </w:p>
    <w:p>
      <w:pPr>
        <w:shd w:fill="F2F2F2" w:val="clear"/>
        <w:spacing w:after="40"/>
      </w:pPr>
      <w:r>
        <w:rPr>
          <w:rFonts w:ascii="Consolas" w:cs="Consolas" w:eastAsia="Consolas" w:hAnsi="Consolas"/>
          <w:sz w:val="18"/>
          <w:szCs w:val="18"/>
        </w:rPr>
        <w:t xml:space="preserve">  the Lambda in the same VPC as an RDS instance.</w:t>
      </w:r>
    </w:p>
    <w:p>
      <w:pPr>
        <w:shd w:fill="F2F2F2" w:val="clear"/>
        <w:spacing w:after="40"/>
      </w:pPr>
      <w:r>
        <w:rPr>
          <w:rFonts w:ascii="Consolas" w:cs="Consolas" w:eastAsia="Consolas" w:hAnsi="Consolas"/>
          <w:sz w:val="18"/>
          <w:szCs w:val="18"/>
        </w:rPr>
        <w:t xml:space="preserve">GET /api/v1/documents/{id}            →  200 OK, presigned S3 URL</w:t>
      </w:r>
    </w:p>
    <w:p>
      <w:pPr>
        <w:shd w:fill="F2F2F2" w:val="clear"/>
        <w:spacing w:after="40"/>
      </w:pPr>
      <w:r>
        <w:rPr>
          <w:rFonts w:ascii="Consolas" w:cs="Consolas" w:eastAsia="Consolas" w:hAnsi="Consolas"/>
          <w:sz w:val="18"/>
          <w:szCs w:val="18"/>
        </w:rPr>
        <w:t xml:space="preserve">GET /api/v1/projects/{id}/storage     →  200 OK, usage vs. 100MB limit</w:t>
      </w:r>
    </w:p>
    <w:p>
      <w:pPr>
        <w:spacing w:after="120"/>
      </w:pPr>
      <w:r>
        <w:t xml:space="preserve"/>
      </w:r>
    </w:p>
    <w:p>
      <w:pPr>
        <w:spacing w:after="120"/>
      </w:pPr>
      <w:r>
        <w:rPr>
          <w:sz w:val="20"/>
          <w:szCs w:val="20"/>
        </w:rPr>
        <w:t xml:space="preserve">The optional share-link feature was also live-verified: an owner generated a hashed join link for an email address, a second real user redeemed it via GET /api/v1/join, and immediately gained participant access to the project.</w:t>
      </w:r>
    </w:p>
    <w:p>
      <w:pPr>
        <w:pStyle w:val="Heading2"/>
        <w:spacing w:after="120" w:before="240"/>
      </w:pPr>
      <w:r>
        <w:t xml:space="preserve">4.5 Test suite</w:t>
      </w:r>
    </w:p>
    <w:p>
      <w:pPr>
        <w:spacing w:after="120"/>
      </w:pPr>
      <w:r>
        <w:rPr>
          <w:sz w:val="20"/>
          <w:szCs w:val="20"/>
        </w:rPr>
        <w:t xml:space="preserve">80 / 80 tests passing (75 original + 5 new for the share-link feature), run against the updated real-AWS configuration:</w:t>
      </w:r>
    </w:p>
    <w:p>
      <w:pPr>
        <w:shd w:fill="F2F2F2" w:val="clear"/>
        <w:spacing w:after="40"/>
      </w:pPr>
      <w:r>
        <w:rPr>
          <w:rFonts w:ascii="Consolas" w:cs="Consolas" w:eastAsia="Consolas" w:hAnsi="Consolas"/>
          <w:sz w:val="18"/>
          <w:szCs w:val="18"/>
        </w:rPr>
        <w:t xml:space="preserve">$ pytest -q</w:t>
      </w:r>
    </w:p>
    <w:p>
      <w:pPr>
        <w:shd w:fill="F2F2F2" w:val="clear"/>
        <w:spacing w:after="40"/>
      </w:pPr>
      <w:r>
        <w:rPr>
          <w:rFonts w:ascii="Consolas" w:cs="Consolas" w:eastAsia="Consolas" w:hAnsi="Consolas"/>
          <w:sz w:val="18"/>
          <w:szCs w:val="18"/>
        </w:rPr>
        <w:t xml:space="preserve">80 passed in 29.19s</w:t>
      </w:r>
    </w:p>
    <w:p>
      <w:pPr>
        <w:spacing w:after="120"/>
      </w:pPr>
      <w:r>
        <w:rPr>
          <w:i/>
          <w:iCs/>
          <w:sz w:val="20"/>
          <w:szCs w:val="20"/>
        </w:rPr>
        <w:t xml:space="preserve">The suite mocks AWS via moto (in-memory), so it was never coupled to LocalStack and needed no changes for the AWS migration beyond 2 tests whose expected JWT-expiry value changed from 15 to 60 minutes.</w:t>
      </w:r>
    </w:p>
    <w:p>
      <w:r>
        <w:br w:type="page"/>
      </w:r>
    </w:p>
    <w:p>
      <w:pPr>
        <w:pStyle w:val="Heading1"/>
        <w:spacing w:after="160" w:before="320"/>
      </w:pPr>
      <w:r>
        <w:t xml:space="preserve">5. AWS Console Screenshots</w:t>
      </w:r>
    </w:p>
    <w:p>
      <w:pPr>
        <w:spacing w:after="120"/>
      </w:pPr>
      <w:r>
        <w:t xml:space="preserve">Captured live during this session (temporary sandbox credentials, console access via the AWS federation sign-in endpoint — no password used).</w:t>
      </w:r>
    </w:p>
    <w:p>
      <w:pPr>
        <w:pStyle w:val="Heading2"/>
        <w:spacing w:after="120" w:before="240"/>
      </w:pPr>
      <w:r>
        <w:t xml:space="preserve">S3 — uploaded document</w:t>
      </w:r>
    </w:p>
    <w:p>
      <w:pPr>
        <w:spacing w:after="8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448050"/>
                    </a:xfrm>
                    <a:prstGeom prst="rect">
                      <a:avLst/>
                    </a:prstGeom>
                  </pic:spPr>
                </pic:pic>
              </a:graphicData>
            </a:graphic>
          </wp:inline>
        </w:drawing>
      </w:r>
    </w:p>
    <w:p>
      <w:pPr>
        <w:spacing w:after="280"/>
        <w:jc w:val="center"/>
      </w:pPr>
      <w:r>
        <w:rPr>
          <w:i/>
          <w:iCs/>
          <w:color w:val="666666"/>
          <w:sz w:val="18"/>
          <w:szCs w:val="18"/>
        </w:rPr>
        <w:t xml:space="preserve">project-mgmt-docs-f4a8baae bucket — demo-upload.pdf (63 B), uploaded through the running API.</w:t>
      </w:r>
    </w:p>
    <w:p>
      <w:pPr>
        <w:pStyle w:val="Heading2"/>
        <w:spacing w:after="120" w:before="240"/>
      </w:pPr>
      <w:r>
        <w:t xml:space="preserve">Lambda — function overview &amp; S3 trigger</w:t>
      </w:r>
    </w:p>
    <w:p>
      <w:pPr>
        <w:spacing w:after="8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448050"/>
                    </a:xfrm>
                    <a:prstGeom prst="rect">
                      <a:avLst/>
                    </a:prstGeom>
                  </pic:spPr>
                </pic:pic>
              </a:graphicData>
            </a:graphic>
          </wp:inline>
        </w:drawing>
      </w:r>
    </w:p>
    <w:p>
      <w:pPr>
        <w:spacing w:after="280"/>
        <w:jc w:val="center"/>
      </w:pPr>
      <w:r>
        <w:rPr>
          <w:i/>
          <w:iCs/>
          <w:color w:val="666666"/>
          <w:sz w:val="18"/>
          <w:szCs w:val="18"/>
        </w:rPr>
        <w:t xml:space="preserve">project-file-size-calculator — function ARN and the live S3 event-trigger diagram.</w:t>
      </w:r>
    </w:p>
    <w:p>
      <w:pPr>
        <w:pStyle w:val="Heading2"/>
        <w:spacing w:after="120" w:before="240"/>
      </w:pPr>
      <w:r>
        <w:t xml:space="preserve">CloudWatch Logs — real invocations</w:t>
      </w:r>
    </w:p>
    <w:p>
      <w:pPr>
        <w:spacing w:after="80"/>
        <w:jc w:val="center"/>
      </w:pPr>
      <w:r>
        <w:drawing>
          <wp:inline distT="0" distB="0" distL="0" distR="0">
            <wp:extent cx="55245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95675"/>
                    </a:xfrm>
                    <a:prstGeom prst="rect">
                      <a:avLst/>
                    </a:prstGeom>
                  </pic:spPr>
                </pic:pic>
              </a:graphicData>
            </a:graphic>
          </wp:inline>
        </w:drawing>
      </w:r>
    </w:p>
    <w:p>
      <w:pPr>
        <w:spacing w:after="280"/>
        <w:jc w:val="center"/>
      </w:pPr>
      <w:r>
        <w:rPr>
          <w:i/>
          <w:iCs/>
          <w:color w:val="666666"/>
          <w:sz w:val="18"/>
          <w:szCs w:val="18"/>
        </w:rPr>
        <w:t xml:space="preserve">Both real Lambda invocations, showing INIT_START → START → [ERROR] (DB unreachable, expected) → END → REPORT, with RequestIds matching the CLI-captured logs.</w:t>
      </w:r>
    </w:p>
    <w:p>
      <w:r>
        <w:br w:type="page"/>
      </w:r>
    </w:p>
    <w:p>
      <w:pPr>
        <w:pStyle w:val="Heading1"/>
        <w:spacing w:after="160" w:before="320"/>
      </w:pPr>
      <w:r>
        <w:t xml:space="preserve">6. Repository &amp; How to Run</w:t>
      </w:r>
    </w:p>
    <w:p>
      <w:pPr>
        <w:spacing w:after="120"/>
      </w:pPr>
      <w:r>
        <w:rPr>
          <w:b/>
          <w:bCs/>
        </w:rPr>
        <w:t xml:space="preserve">GitHub: github.com/kaipbergen/project-management-platform</w:t>
      </w:r>
    </w:p>
    <w:p>
      <w:pPr>
        <w:pStyle w:val="Heading2"/>
        <w:spacing w:after="120" w:before="240"/>
      </w:pPr>
      <w:r>
        <w:t xml:space="preserve">Local dev (LocalStack)</w:t>
      </w:r>
    </w:p>
    <w:p>
      <w:pPr>
        <w:shd w:fill="F2F2F2" w:val="clear"/>
        <w:spacing w:after="40"/>
      </w:pPr>
      <w:r>
        <w:rPr>
          <w:rFonts w:ascii="Consolas" w:cs="Consolas" w:eastAsia="Consolas" w:hAnsi="Consolas"/>
          <w:sz w:val="18"/>
          <w:szCs w:val="18"/>
        </w:rPr>
        <w:t xml:space="preserve">cp .env.example .env</w:t>
      </w:r>
    </w:p>
    <w:p>
      <w:pPr>
        <w:shd w:fill="F2F2F2" w:val="clear"/>
        <w:spacing w:after="40"/>
      </w:pPr>
      <w:r>
        <w:rPr>
          <w:rFonts w:ascii="Consolas" w:cs="Consolas" w:eastAsia="Consolas" w:hAnsi="Consolas"/>
          <w:sz w:val="18"/>
          <w:szCs w:val="18"/>
        </w:rPr>
        <w:t xml:space="preserve">docker compose -f docker-compose.yml -f docker-compose.localstack.yml up --build</w:t>
      </w:r>
    </w:p>
    <w:p>
      <w:pPr>
        <w:pStyle w:val="Heading2"/>
        <w:spacing w:after="120" w:before="240"/>
      </w:pPr>
      <w:r>
        <w:t xml:space="preserve">Real AWS</w:t>
      </w:r>
    </w:p>
    <w:p>
      <w:pPr>
        <w:shd w:fill="F2F2F2" w:val="clear"/>
        <w:spacing w:after="40"/>
      </w:pPr>
      <w:r>
        <w:rPr>
          <w:rFonts w:ascii="Consolas" w:cs="Consolas" w:eastAsia="Consolas" w:hAnsi="Consolas"/>
          <w:sz w:val="18"/>
          <w:szCs w:val="18"/>
        </w:rPr>
        <w:t xml:space="preserve">cp .env.example .env   # fill in real AWS credentials + bucket name</w:t>
      </w:r>
    </w:p>
    <w:p>
      <w:pPr>
        <w:shd w:fill="F2F2F2" w:val="clear"/>
        <w:spacing w:after="40"/>
      </w:pPr>
      <w:r>
        <w:rPr>
          <w:rFonts w:ascii="Consolas" w:cs="Consolas" w:eastAsia="Consolas" w:hAnsi="Consolas"/>
          <w:sz w:val="18"/>
          <w:szCs w:val="18"/>
        </w:rPr>
        <w:t xml:space="preserve">docker compose up --build</w:t>
      </w:r>
    </w:p>
    <w:p>
      <w:pPr>
        <w:pStyle w:val="Heading2"/>
        <w:spacing w:after="120" w:before="240"/>
      </w:pPr>
      <w:r>
        <w:t xml:space="preserve">Tests</w:t>
      </w:r>
    </w:p>
    <w:p>
      <w:pPr>
        <w:shd w:fill="F2F2F2" w:val="clear"/>
        <w:spacing w:after="40"/>
      </w:pPr>
      <w:r>
        <w:rPr>
          <w:rFonts w:ascii="Consolas" w:cs="Consolas" w:eastAsia="Consolas" w:hAnsi="Consolas"/>
          <w:sz w:val="18"/>
          <w:szCs w:val="18"/>
        </w:rPr>
        <w:t xml:space="preserve">pytest -q   # 80 passed</w:t>
      </w:r>
    </w:p>
    <w:p>
      <w:pPr>
        <w:spacing w:after="120"/>
      </w:pPr>
      <w:r>
        <w:t xml:space="preserve"/>
      </w:r>
    </w:p>
    <w:p>
      <w:pPr>
        <w:spacing w:after="120"/>
      </w:pPr>
      <w:r>
        <w:rPr>
          <w:i/>
          <w:iCs/>
          <w:sz w:val="20"/>
          <w:szCs w:val="20"/>
        </w:rPr>
        <w:t xml:space="preserve">Full command-by-command log of the AWS Sandbox migration (bucket/role/Lambda creation, live curl transcripts, CloudWatch output) is committed in the repository as aws-sandbox-demo-log.md.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b/>
      <w:bCs/>
      <w:color w:val="2E5AAC"/>
      <w:sz w:val="32"/>
      <w:szCs w:val="32"/>
    </w:rPr>
  </w:style>
  <w:style w:type="paragraph" w:styleId="Heading2">
    <w:name w:val="Heading 2"/>
    <w:basedOn w:val="Normal"/>
    <w:next w:val="Normal"/>
    <w:qFormat/>
    <w:pPr>
      <w:spacing w:after="120" w:before="240"/>
      <w:outlineLvl w:val="1"/>
    </w:pPr>
    <w:rPr>
      <w:b/>
      <w:bCs/>
      <w:color w:val="1F1F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4fb2e8f898c267ca9fea88b5385e679a0f458c7.png"/><Relationship Id="rId8" Type="http://schemas.openxmlformats.org/officeDocument/2006/relationships/image" Target="media/9902dc641b4d0f2f213275055a84ff495d28f81b.png"/><Relationship Id="rId9" Type="http://schemas.openxmlformats.org/officeDocument/2006/relationships/image" Target="media/e8e28c4c7ceff4679870874db3c71791899838a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2026-08-13T12:40:18.712Z</dcterms:created>
  <dcterms:modified xsi:type="dcterms:W3CDTF">2026-08-13T12:40:18.713Z</dcterms:modified>
</cp:coreProperties>
</file>

<file path=docProps/custom.xml><?xml version="1.0" encoding="utf-8"?>
<Properties xmlns="http://schemas.openxmlformats.org/officeDocument/2006/custom-properties" xmlns:vt="http://schemas.openxmlformats.org/officeDocument/2006/docPropsVTypes"/>
</file>