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sz w:val="32"/>
        </w:rPr>
        <w:t>Easy-Teach 多模态 AI 互动式教学智能体</w:t>
      </w:r>
    </w:p>
    <w:p>
      <w:pPr>
        <w:spacing w:after="320"/>
        <w:jc w:val="center"/>
      </w:pPr>
      <w:r>
        <w:rPr>
          <w:rFonts w:ascii="黑体" w:hAnsi="黑体" w:eastAsia="黑体"/>
          <w:b/>
          <w:sz w:val="26"/>
        </w:rPr>
        <w:t>——团队分工与协作</w:t>
      </w:r>
    </w:p>
    <w:p>
      <w:pPr>
        <w:spacing w:before="240" w:after="120" w:line="360" w:lineRule="auto"/>
        <w:outlineLvl w:val="0"/>
      </w:pPr>
      <w:r>
        <w:rPr>
          <w:rFonts w:ascii="黑体" w:hAnsi="黑体" w:eastAsia="黑体"/>
          <w:b/>
          <w:sz w:val="30"/>
        </w:rPr>
        <w:t>一、团队组成与分工原则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本项目团队由 5 名成员组成，覆盖 AI 算法、后端平台、文档解析与内容生成、交互前端四个技术方向。团队采用「模块归属 + 里程碑负责」的双维度分工方式：纵向上，每位成员负责一个可独立交付的技术模块，对模块的接口、质量与进度负责；横向上，按 M0–M6 里程碑设置阶段主要负责人，牵头该阶段的联调与验收。跨模块接口由项目负责人牵头先固化契约，再由各成员并行开发，避免相互阻塞。</w:t>
      </w:r>
    </w:p>
    <w:p>
      <w:pPr>
        <w:spacing w:before="80" w:after="200"/>
        <w:jc w:val="center"/>
      </w:pPr>
      <w:r>
        <w:rPr>
          <w:rFonts w:ascii="黑体" w:hAnsi="黑体" w:eastAsia="黑体"/>
          <w:b/>
          <w:sz w:val="21"/>
        </w:rPr>
        <w:t>表 1  团队角色与分工总览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tblHeader w:val="true"/>
        </w:trPr>
        <w:tc>
          <w:tcPr>
            <w:tcW w:type="dxa" w:w="1077"/>
            <w:shd w:val="clear" w:fill="DCE6F1"/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姓名</w:t>
            </w:r>
          </w:p>
        </w:tc>
        <w:tc>
          <w:tcPr>
            <w:tcW w:type="dxa" w:w="1474"/>
            <w:shd w:val="clear" w:fill="DCE6F1"/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项目角色</w:t>
            </w:r>
          </w:p>
        </w:tc>
        <w:tc>
          <w:tcPr>
            <w:tcW w:type="dxa" w:w="2494"/>
            <w:shd w:val="clear" w:fill="DCE6F1"/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负责模块</w:t>
            </w:r>
          </w:p>
        </w:tc>
        <w:tc>
          <w:tcPr>
            <w:tcW w:type="dxa" w:w="3572"/>
            <w:shd w:val="clear" w:fill="DCE6F1"/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主要交付物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陶克钦</w:t>
            </w:r>
          </w:p>
        </w:tc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项目负责人</w:t>
              <w:br/>
              <w:t>技术负责人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总体架构、前端工程、后端接口、视频解析</w:t>
            </w:r>
          </w:p>
        </w:tc>
        <w:tc>
          <w:tcPr>
            <w:tcW w:type="dxa" w:w="357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项目架构与主干代码、Vue 3 前端工程、视频解析模块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姜文杰</w:t>
            </w:r>
          </w:p>
        </w:tc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后端平台负责人</w:t>
              <w:br/>
              <w:t>质量保障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服务端平台、数据层、管理端、部署与验收</w:t>
            </w:r>
          </w:p>
        </w:tc>
        <w:tc>
          <w:tcPr>
            <w:tcW w:type="dxa" w:w="357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FastAPI 服务层、数据模型与迁移、管理端工作区、E2E 测试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陈澜</w:t>
            </w:r>
          </w:p>
        </w:tc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AI 能力负责人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意图识别、RAG 检索、知识融合、语音</w:t>
            </w:r>
          </w:p>
        </w:tc>
        <w:tc>
          <w:tcPr>
            <w:tcW w:type="dxa" w:w="357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RAG 混合检索链路、差异化追问策略、提示词库、教材知识库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赵钰洁</w:t>
            </w:r>
          </w:p>
        </w:tc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解析与生成引擎</w:t>
              <w:br/>
              <w:t>负责人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文档解析、PPTX / DOCX / 互动内容生成</w:t>
            </w:r>
          </w:p>
        </w:tc>
        <w:tc>
          <w:tcPr>
            <w:tcW w:type="dxa" w:w="357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五类文件解析引擎、三类课件生成器、PPT 样式与模板体系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潘卓然</w:t>
            </w:r>
          </w:p>
        </w:tc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交互前端负责人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对话界面、文件上传、语音组件</w:t>
            </w:r>
          </w:p>
        </w:tc>
        <w:tc>
          <w:tcPr>
            <w:tcW w:type="dxa" w:w="357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对话界面、文件上传组件、语音输入组件</w:t>
            </w:r>
          </w:p>
        </w:tc>
      </w:tr>
    </w:tbl>
    <w:p>
      <w:pPr>
        <w:spacing w:before="240" w:after="120" w:line="360" w:lineRule="auto"/>
        <w:outlineLvl w:val="0"/>
      </w:pPr>
      <w:r>
        <w:rPr>
          <w:rFonts w:ascii="黑体" w:hAnsi="黑体" w:eastAsia="黑体"/>
          <w:b/>
          <w:sz w:val="30"/>
        </w:rPr>
        <w:t>二、成员分工明细</w:t>
      </w:r>
    </w:p>
    <w:p>
      <w:pPr>
        <w:spacing w:before="160" w:after="120" w:line="360" w:lineRule="auto"/>
        <w:outlineLvl w:val="1"/>
      </w:pPr>
      <w:r>
        <w:rPr>
          <w:rFonts w:ascii="黑体" w:hAnsi="黑体" w:eastAsia="黑体"/>
          <w:b/>
          <w:sz w:val="27"/>
        </w:rPr>
        <w:t>（一）陶克钦 —— 项目负责人 / 技术负责人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职责概述：负责项目总体架构设计与技术选型，划定模块边界与接口契约，把控整体进度，承担前后端集成与代码评审，并直接负责前端工程与视频解析模块的实现。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4"/>
        </w:rPr>
        <w:t>主要工作：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1. 项目架构与技术选型：</w:t>
      </w:r>
      <w:r>
        <w:rPr>
          <w:rFonts w:ascii="宋体" w:hAnsi="宋体" w:eastAsia="宋体"/>
          <w:b w:val="0"/>
          <w:sz w:val="24"/>
        </w:rPr>
        <w:t>确定 FastAPI + Vue 3 + PostgreSQL + Celery/Redis + DeepSeek 的技术栈，划定 backend/、ai/、gen/、video_parser/、frontend/ 的模块边界，建立统一的 /api/v1 接口规范与错误结构。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2. 前端工程：</w:t>
      </w:r>
      <w:r>
        <w:rPr>
          <w:rFonts w:ascii="宋体" w:hAnsi="宋体" w:eastAsia="宋体"/>
          <w:b w:val="0"/>
          <w:sz w:val="24"/>
        </w:rPr>
        <w:t>主导 Vue 3 + TypeScript 工程重构，接入真实后端 API，打通「首页 → 对话 → 预览 → 下载」完整闭环；实现编辑器 AI 配图能力（单页生成、批量自动配图）、满版渐变排版，并修复导出环节缺陷。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3. 后端接口：</w:t>
      </w:r>
      <w:r>
        <w:rPr>
          <w:rFonts w:ascii="宋体" w:hAnsi="宋体" w:eastAsia="宋体"/>
          <w:b w:val="0"/>
          <w:sz w:val="24"/>
        </w:rPr>
        <w:t>修复上传接口死锁问题并清理历史假数据；实现生成进度推送、SSE 对话流与资料解析接口。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4. 视频解析模块：</w:t>
      </w:r>
      <w:r>
        <w:rPr>
          <w:rFonts w:ascii="宋体" w:hAnsi="宋体" w:eastAsia="宋体"/>
          <w:b w:val="0"/>
          <w:sz w:val="24"/>
        </w:rPr>
        <w:t>独立实现 video_parser/ 视频解析模块（24 个模块），涵盖 ffmpeg/ffprobe 环境预检与子进程超时控制、Whisper 模型加载失败降级、抽帧与关键帧策略、OCR 文本密度判定、中间表示（IR）构建、时间区间精修、教案环节时长归一、学生版内容裁剪与产物原子化落盘。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5. 质量整改：</w:t>
      </w:r>
      <w:r>
        <w:rPr>
          <w:rFonts w:ascii="宋体" w:hAnsi="宋体" w:eastAsia="宋体"/>
          <w:b w:val="0"/>
          <w:sz w:val="24"/>
        </w:rPr>
        <w:t>主导视频解析模块阶段 1–6 共 40 余项缺陷修复（编号 S1.1–S6.16），覆盖超时与降级、证据时间戳真实性、抽帧容错、缓存键正确性、SDK 通路配置与产物一致性。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6. 集成与评审：</w:t>
      </w:r>
      <w:r>
        <w:rPr>
          <w:rFonts w:ascii="宋体" w:hAnsi="宋体" w:eastAsia="宋体"/>
          <w:b w:val="0"/>
          <w:sz w:val="24"/>
        </w:rPr>
        <w:t>负责全部 8 次合并请求（#3–#10）的评审与主干合并，维护代码规范与提交纪律。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交付物：</w:t>
      </w:r>
      <w:r>
        <w:rPr>
          <w:rFonts w:ascii="宋体" w:hAnsi="宋体" w:eastAsia="宋体"/>
          <w:b w:val="0"/>
          <w:sz w:val="24"/>
        </w:rPr>
        <w:t>项目总体架构与主干代码、Vue 3 前端工程、视频解析模块、质量整改记录。</w:t>
      </w:r>
    </w:p>
    <w:p>
      <w:pPr>
        <w:spacing w:before="160" w:after="120" w:line="360" w:lineRule="auto"/>
        <w:outlineLvl w:val="1"/>
      </w:pPr>
      <w:r>
        <w:rPr>
          <w:rFonts w:ascii="黑体" w:hAnsi="黑体" w:eastAsia="黑体"/>
          <w:b/>
          <w:sz w:val="27"/>
        </w:rPr>
        <w:t>（二）姜文杰 —— 后端平台负责人 / 质量保障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职责概述：负责服务端平台架构、数据持久化与工程化基础设施，承担管理端开发、部署验收与全项目质量加固。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4"/>
        </w:rPr>
        <w:t>主要工作：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1. 工程化基础（M0）：</w:t>
      </w:r>
      <w:r>
        <w:rPr>
          <w:rFonts w:ascii="宋体" w:hAnsi="宋体" w:eastAsia="宋体"/>
          <w:b w:val="0"/>
          <w:sz w:val="24"/>
        </w:rPr>
        <w:t>统一使用 uv + pyproject.toml + uv.lock 管理 Python 依赖，建立 Alembic 数据库迁移体系与统一环境变量规范，固定接口前缀、错误结构与任务状态枚举。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2. 账号与项目平台（M1–M2）：</w:t>
      </w:r>
      <w:r>
        <w:rPr>
          <w:rFonts w:ascii="宋体" w:hAnsi="宋体" w:eastAsia="宋体"/>
          <w:b w:val="0"/>
          <w:sz w:val="24"/>
        </w:rPr>
        <w:t>实现用户注册、登录、JWT 鉴权与角色权限；实现项目创建、列表、详情、软删除与恢复；将消息、资料、任务统一关联到用户与项目，完成数据持久化改造。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3. 服务端架构与数据层：</w:t>
      </w:r>
      <w:r>
        <w:rPr>
          <w:rFonts w:ascii="宋体" w:hAnsi="宋体" w:eastAsia="宋体"/>
          <w:b w:val="0"/>
          <w:sz w:val="24"/>
        </w:rPr>
        <w:t>搭建 backend/services 服务层（57 个模块）、backend/routers 路由层与backend/models 数据模型，累计完成 12 个数据库迁移。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4. 管理端与自动化测试：</w:t>
      </w:r>
      <w:r>
        <w:rPr>
          <w:rFonts w:ascii="宋体" w:hAnsi="宋体" w:eastAsia="宋体"/>
          <w:b w:val="0"/>
          <w:sz w:val="24"/>
        </w:rPr>
        <w:t>实现管理员工作区（用户管理、公共知识库管理、模型提供商与模型选择），并补充端到端（E2E）测试覆盖。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5. 导出验收与质量加固（M6）：</w:t>
      </w:r>
      <w:r>
        <w:rPr>
          <w:rFonts w:ascii="宋体" w:hAnsi="宋体" w:eastAsia="宋体"/>
          <w:b w:val="0"/>
          <w:sz w:val="24"/>
        </w:rPr>
        <w:t>完成课件导出验收，主导全项目整改与加固，输出接口契约文档 docs/backend-api-contract.md。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交付物：</w:t>
      </w:r>
      <w:r>
        <w:rPr>
          <w:rFonts w:ascii="宋体" w:hAnsi="宋体" w:eastAsia="宋体"/>
          <w:b w:val="0"/>
          <w:sz w:val="24"/>
        </w:rPr>
        <w:t>FastAPI 服务端平台与数据层、管理端工作区、12 个数据库迁移、E2E 测试、接口契约文档。</w:t>
      </w:r>
    </w:p>
    <w:p>
      <w:pPr>
        <w:spacing w:before="160" w:after="120" w:line="360" w:lineRule="auto"/>
        <w:outlineLvl w:val="1"/>
      </w:pPr>
      <w:r>
        <w:rPr>
          <w:rFonts w:ascii="黑体" w:hAnsi="黑体" w:eastAsia="黑体"/>
          <w:b/>
          <w:sz w:val="27"/>
        </w:rPr>
        <w:t>（三）陈澜 —— AI 能力负责人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职责概述：负责 AI 能力建设与知识库检索链路，覆盖意图识别、检索增强生成、知识融合与语音转写。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4"/>
        </w:rPr>
        <w:t>主要工作：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1. AI 模块框架：</w:t>
      </w:r>
      <w:r>
        <w:rPr>
          <w:rFonts w:ascii="宋体" w:hAnsi="宋体" w:eastAsia="宋体"/>
          <w:b w:val="0"/>
          <w:sz w:val="24"/>
        </w:rPr>
        <w:t>搭建意图理解（ai/intent）、RAG 检索（ai/rag）、知识融合（ai/fusion）、语音转写（ai/speech）与提示词工程（ai/prompts）五个子模块，形成完整 AI 能力底座。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2. 混合检索（M3）：</w:t>
      </w:r>
      <w:r>
        <w:rPr>
          <w:rFonts w:ascii="宋体" w:hAnsi="宋体" w:eastAsia="宋体"/>
          <w:b w:val="0"/>
          <w:sz w:val="24"/>
        </w:rPr>
        <w:t>实现向量检索（权重 0.7）与关键词检索（权重 0.3）联合的混合检索策略，并将知识库扩展至 4 本教材，显著提升课程相关证据的召回质量。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3. 提示词工程：</w:t>
      </w:r>
      <w:r>
        <w:rPr>
          <w:rFonts w:ascii="宋体" w:hAnsi="宋体" w:eastAsia="宋体"/>
          <w:b w:val="0"/>
          <w:sz w:val="24"/>
        </w:rPr>
        <w:t>设计需求澄清、知识融合、内容生成等场景的提示词模板，保证模型输出结构稳定、可解析、可校验。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4. 效果调优：</w:t>
      </w:r>
      <w:r>
        <w:rPr>
          <w:rFonts w:ascii="宋体" w:hAnsi="宋体" w:eastAsia="宋体"/>
          <w:b w:val="0"/>
          <w:sz w:val="24"/>
        </w:rPr>
        <w:t>针对不同课程类型实现差异化追问策略，优化知识融合输出以充实教案内容；完成 AI 模块对新数据结构的适配，检索加载器对接解析模块产出。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交付物：</w:t>
      </w:r>
      <w:r>
        <w:rPr>
          <w:rFonts w:ascii="宋体" w:hAnsi="宋体" w:eastAsia="宋体"/>
          <w:b w:val="0"/>
          <w:sz w:val="24"/>
        </w:rPr>
        <w:t>RAG 混合检索链路、意图识别与差异化追问策略、提示词库、4 本教材知识库。</w:t>
      </w:r>
    </w:p>
    <w:p>
      <w:pPr>
        <w:spacing w:before="160" w:after="120" w:line="360" w:lineRule="auto"/>
        <w:outlineLvl w:val="1"/>
      </w:pPr>
      <w:r>
        <w:rPr>
          <w:rFonts w:ascii="黑体" w:hAnsi="黑体" w:eastAsia="黑体"/>
          <w:b/>
          <w:sz w:val="27"/>
        </w:rPr>
        <w:t>（四）赵钰洁 —— 解析与生成引擎负责人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职责概述：负责多模态资料解析引擎与课件生成引擎，是「资料 → 蓝图 → 三类产物」核心链路的实现者。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4"/>
        </w:rPr>
        <w:t>主要工作：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1. 解析模块（M2）：</w:t>
      </w:r>
      <w:r>
        <w:rPr>
          <w:rFonts w:ascii="宋体" w:hAnsi="宋体" w:eastAsia="宋体"/>
          <w:b w:val="0"/>
          <w:sz w:val="24"/>
        </w:rPr>
        <w:t>实现 gen/parse 解析引擎，覆盖 PDF、Word、图片、音频、视频五类资料的统一解析，输出结构化内容，供证据链构建与向量检索使用。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2. 生成引擎（M5）：</w:t>
      </w:r>
      <w:r>
        <w:rPr>
          <w:rFonts w:ascii="宋体" w:hAnsi="宋体" w:eastAsia="宋体"/>
          <w:b w:val="0"/>
          <w:sz w:val="24"/>
        </w:rPr>
        <w:t>实现三类课件生成器 —— gen/pptx PPT 课件生成器、gen/docx Word 教案生成器、gen/anim 动画与互动游戏生成器，由同一份教学蓝图驱动。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3. 排版与模板体系：</w:t>
      </w:r>
      <w:r>
        <w:rPr>
          <w:rFonts w:ascii="宋体" w:hAnsi="宋体" w:eastAsia="宋体"/>
          <w:b w:val="0"/>
          <w:sz w:val="24"/>
        </w:rPr>
        <w:t>设计 PPT 样式与常量系统（gen/pptx/layout.py）及页面模板定义（gen/pptx/slides.py），保证生成产物的视觉一致性与可扩展性。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4. 生成提示词：</w:t>
      </w:r>
      <w:r>
        <w:rPr>
          <w:rFonts w:ascii="宋体" w:hAnsi="宋体" w:eastAsia="宋体"/>
          <w:b w:val="0"/>
          <w:sz w:val="24"/>
        </w:rPr>
        <w:t>编写教案与课件生成所需的提示词模板（gen/prompts）。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交付物：</w:t>
      </w:r>
      <w:r>
        <w:rPr>
          <w:rFonts w:ascii="宋体" w:hAnsi="宋体" w:eastAsia="宋体"/>
          <w:b w:val="0"/>
          <w:sz w:val="24"/>
        </w:rPr>
        <w:t>五类文件解析引擎、PPTX / DOCX / HTML5 互动内容三类生成器、PPT 样式与模板体系。</w:t>
      </w:r>
    </w:p>
    <w:p>
      <w:pPr>
        <w:spacing w:before="160" w:after="120" w:line="360" w:lineRule="auto"/>
        <w:outlineLvl w:val="1"/>
      </w:pPr>
      <w:r>
        <w:rPr>
          <w:rFonts w:ascii="黑体" w:hAnsi="黑体" w:eastAsia="黑体"/>
          <w:b/>
          <w:sz w:val="27"/>
        </w:rPr>
        <w:t>（五）潘卓然 —— 交互前端负责人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职责概述：负责教师端交互层实现，覆盖对话、资料上传与语音输入三类核心交互。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4"/>
        </w:rPr>
        <w:t>主要工作：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1. 需求共创界面（M1）：</w:t>
      </w:r>
      <w:r>
        <w:rPr>
          <w:rFonts w:ascii="宋体" w:hAnsi="宋体" w:eastAsia="宋体"/>
          <w:b w:val="0"/>
          <w:sz w:val="24"/>
        </w:rPr>
        <w:t>实现对话界面，支撑教师以自然语言表达教学需求并接收 AI 主动追问，完成需求共创环节的交互闭环。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2. 资料上传交互（M2）：</w:t>
      </w:r>
      <w:r>
        <w:rPr>
          <w:rFonts w:ascii="宋体" w:hAnsi="宋体" w:eastAsia="宋体"/>
          <w:b w:val="0"/>
          <w:sz w:val="24"/>
        </w:rPr>
        <w:t>实现文件上传组件，支持多类型资料的选取、上传与状态反馈。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3. 语音组件（M4）：</w:t>
      </w:r>
      <w:r>
        <w:rPr>
          <w:rFonts w:ascii="宋体" w:hAnsi="宋体" w:eastAsia="宋体"/>
          <w:b w:val="0"/>
          <w:sz w:val="24"/>
        </w:rPr>
        <w:t>实现语音输入与转写组件，将语音结果接入统一消息流水线。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4. 基础架构融合：</w:t>
      </w:r>
      <w:r>
        <w:rPr>
          <w:rFonts w:ascii="宋体" w:hAnsi="宋体" w:eastAsia="宋体"/>
          <w:b w:val="0"/>
          <w:sz w:val="24"/>
        </w:rPr>
        <w:t>参与前端基础架构搭建与业务组件融合，为后续页面开发提供复用基础。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交付物：</w:t>
      </w:r>
      <w:r>
        <w:rPr>
          <w:rFonts w:ascii="宋体" w:hAnsi="宋体" w:eastAsia="宋体"/>
          <w:b w:val="0"/>
          <w:sz w:val="24"/>
        </w:rPr>
        <w:t>对话界面、文件上传组件、语音输入组件。</w:t>
      </w:r>
    </w:p>
    <w:p>
      <w:pPr>
        <w:spacing w:before="240" w:after="120" w:line="360" w:lineRule="auto"/>
        <w:outlineLvl w:val="0"/>
      </w:pPr>
      <w:r>
        <w:rPr>
          <w:rFonts w:ascii="黑体" w:hAnsi="黑体" w:eastAsia="黑体"/>
          <w:b/>
          <w:sz w:val="30"/>
        </w:rPr>
        <w:t>三、里程碑责任分配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项目按 M0–M6 七个里程碑推进，每个里程碑设一名主要负责人牵头该阶段的开发、联调与验收，并配置协作成员参与。具体责任分配如下。</w:t>
      </w:r>
    </w:p>
    <w:p>
      <w:pPr>
        <w:spacing w:before="80" w:after="200"/>
        <w:jc w:val="center"/>
      </w:pPr>
      <w:r>
        <w:rPr>
          <w:rFonts w:ascii="黑体" w:hAnsi="黑体" w:eastAsia="黑体"/>
          <w:b/>
          <w:sz w:val="21"/>
        </w:rPr>
        <w:t>表 2  M0–M6 里程碑责任矩阵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tblHeader w:val="true"/>
        </w:trPr>
        <w:tc>
          <w:tcPr>
            <w:tcW w:type="dxa" w:w="1020"/>
            <w:shd w:val="clear" w:fill="DCE6F1"/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里程碑</w:t>
            </w:r>
          </w:p>
        </w:tc>
        <w:tc>
          <w:tcPr>
            <w:tcW w:type="dxa" w:w="4082"/>
            <w:shd w:val="clear" w:fill="DCE6F1"/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阶段目标</w:t>
            </w:r>
          </w:p>
        </w:tc>
        <w:tc>
          <w:tcPr>
            <w:tcW w:type="dxa" w:w="1701"/>
            <w:shd w:val="clear" w:fill="DCE6F1"/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主要负责人</w:t>
            </w:r>
          </w:p>
        </w:tc>
        <w:tc>
          <w:tcPr>
            <w:tcW w:type="dxa" w:w="1814"/>
            <w:shd w:val="clear" w:fill="DCE6F1"/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协作成员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M0</w:t>
            </w:r>
          </w:p>
        </w:tc>
        <w:tc>
          <w:tcPr>
            <w:tcW w:type="dxa" w:w="408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基线与工程化：依赖管理、迁移体系、接口规范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姜文杰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陶克钦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M1</w:t>
            </w:r>
          </w:p>
        </w:tc>
        <w:tc>
          <w:tcPr>
            <w:tcW w:type="dxa" w:w="408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账号、项目与数据持久化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姜文杰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潘卓然、陶克钦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M2</w:t>
            </w:r>
          </w:p>
        </w:tc>
        <w:tc>
          <w:tcPr>
            <w:tcW w:type="dxa" w:w="408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需求共创与多模态资料解析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赵钰洁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潘卓然、陈澜、陶克钦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M3</w:t>
            </w:r>
          </w:p>
        </w:tc>
        <w:tc>
          <w:tcPr>
            <w:tcW w:type="dxa" w:w="408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资料解析、知识库与检索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陈澜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陶克钦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M4</w:t>
            </w:r>
          </w:p>
        </w:tc>
        <w:tc>
          <w:tcPr>
            <w:tcW w:type="dxa" w:w="408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教学蓝图与课件生成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赵钰洁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陈澜、陶克钦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M5</w:t>
            </w:r>
          </w:p>
        </w:tc>
        <w:tc>
          <w:tcPr>
            <w:tcW w:type="dxa" w:w="408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局部修改、版本管理与导出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赵钰洁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陶克钦</w:t>
            </w:r>
          </w:p>
        </w:tc>
      </w:tr>
      <w:tr>
        <w:tc>
          <w:tcPr>
            <w:tcW w:type="dxa" w:w="1020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M6</w:t>
            </w:r>
          </w:p>
        </w:tc>
        <w:tc>
          <w:tcPr>
            <w:tcW w:type="dxa" w:w="408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质量、部署与验收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姜文杰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陶克钦、陈澜</w:t>
            </w:r>
          </w:p>
        </w:tc>
      </w:tr>
    </w:tbl>
    <w:p>
      <w:pPr>
        <w:spacing w:before="240" w:after="120" w:line="360" w:lineRule="auto"/>
        <w:outlineLvl w:val="0"/>
      </w:pPr>
      <w:r>
        <w:rPr>
          <w:rFonts w:ascii="黑体" w:hAnsi="黑体" w:eastAsia="黑体"/>
          <w:b/>
          <w:sz w:val="30"/>
        </w:rPr>
        <w:t>四、协作机制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1. 分支管理与代码评审：</w:t>
      </w:r>
      <w:r>
        <w:rPr>
          <w:rFonts w:ascii="宋体" w:hAnsi="宋体" w:eastAsia="宋体"/>
          <w:b w:val="0"/>
          <w:sz w:val="24"/>
        </w:rPr>
        <w:t>主干 main 分支保持可发布状态，功能开发在特性分支进行，统一通过合并请求（Pull Request）提交评审，由项目负责人评审通过后合入主干；全项目累计完成 8 次合并请求（#3–#10）。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2. 接口契约先行的并行开发：</w:t>
      </w:r>
      <w:r>
        <w:rPr>
          <w:rFonts w:ascii="宋体" w:hAnsi="宋体" w:eastAsia="宋体"/>
          <w:b w:val="0"/>
          <w:sz w:val="24"/>
        </w:rPr>
        <w:t>跨模块接口先固化 Schema 与 API 文档，再并行开发，减少前后端与模块之间的返工；接口变更必须同步更新后端 Schema、接口文档与契约测试。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3. 里程碑验收制度：</w:t>
      </w:r>
      <w:r>
        <w:rPr>
          <w:rFonts w:ascii="宋体" w:hAnsi="宋体" w:eastAsia="宋体"/>
          <w:b w:val="0"/>
          <w:sz w:val="24"/>
        </w:rPr>
        <w:t>每个里程碑完成后运行对应测试并记录结果，达标后方可进入下一阶段；长任务统一具备状态、进度、错误、重试与幂等策略。</w:t>
      </w:r>
    </w:p>
    <w:p>
      <w:pPr>
        <w:spacing w:after="100" w:line="360" w:lineRule="auto"/>
        <w:ind w:left="480"/>
      </w:pPr>
      <w:r>
        <w:rPr>
          <w:rFonts w:ascii="黑体" w:hAnsi="黑体" w:eastAsia="黑体"/>
          <w:b/>
          <w:sz w:val="24"/>
        </w:rPr>
        <w:t>4. 文档与知识沉淀：</w:t>
      </w:r>
      <w:r>
        <w:rPr>
          <w:rFonts w:ascii="宋体" w:hAnsi="宋体" w:eastAsia="宋体"/>
          <w:b w:val="0"/>
          <w:sz w:val="24"/>
        </w:rPr>
        <w:t>维护开发交接文档、接口契约文档、整改计划与验收矩阵，保证成员之间上下文可传递、责任可追溯。</w:t>
      </w:r>
    </w:p>
    <w:p>
      <w:pPr>
        <w:spacing w:before="240" w:after="120" w:line="360" w:lineRule="auto"/>
        <w:outlineLvl w:val="0"/>
      </w:pPr>
      <w:r>
        <w:rPr>
          <w:rFonts w:ascii="黑体" w:hAnsi="黑体" w:eastAsia="黑体"/>
          <w:b/>
          <w:sz w:val="30"/>
        </w:rPr>
        <w:t>五、工作量统计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下表统计各成员在 2026 年 7 月 21 日至 9 月 23 日期间的代码贡献情况。统计已排除教材 PDF 等大体积二进制文件，仅计入源码与文档的实际改动。</w:t>
      </w:r>
    </w:p>
    <w:p>
      <w:pPr>
        <w:spacing w:before="80" w:after="200"/>
        <w:jc w:val="center"/>
      </w:pPr>
      <w:r>
        <w:rPr>
          <w:rFonts w:ascii="黑体" w:hAnsi="黑体" w:eastAsia="黑体"/>
          <w:b/>
          <w:sz w:val="21"/>
        </w:rPr>
        <w:t>表 3  成员代码贡献统计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rPr>
          <w:tblHeader w:val="true"/>
        </w:trPr>
        <w:tc>
          <w:tcPr>
            <w:tcW w:type="dxa" w:w="1077"/>
            <w:shd w:val="clear" w:fill="DCE6F1"/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成员</w:t>
            </w:r>
          </w:p>
        </w:tc>
        <w:tc>
          <w:tcPr>
            <w:tcW w:type="dxa" w:w="1304"/>
            <w:shd w:val="clear" w:fill="DCE6F1"/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文件变更次数</w:t>
            </w:r>
          </w:p>
        </w:tc>
        <w:tc>
          <w:tcPr>
            <w:tcW w:type="dxa" w:w="1247"/>
            <w:shd w:val="clear" w:fill="DCE6F1"/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新增代码行</w:t>
            </w:r>
          </w:p>
        </w:tc>
        <w:tc>
          <w:tcPr>
            <w:tcW w:type="dxa" w:w="1247"/>
            <w:shd w:val="clear" w:fill="DCE6F1"/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删除代码行</w:t>
            </w:r>
          </w:p>
        </w:tc>
        <w:tc>
          <w:tcPr>
            <w:tcW w:type="dxa" w:w="3742"/>
            <w:shd w:val="clear" w:fill="DCE6F1"/>
          </w:tcPr>
          <w:p>
            <w:pPr>
              <w:spacing w:after="40" w:before="4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主要涉及范围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姜文杰</w:t>
            </w:r>
          </w:p>
        </w:tc>
        <w:tc>
          <w:tcPr>
            <w:tcW w:type="dxa" w:w="130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355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36,335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5,091</w:t>
            </w:r>
          </w:p>
        </w:tc>
        <w:tc>
          <w:tcPr>
            <w:tcW w:type="dxa" w:w="374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backend/services、backend/routers、backend/models、backend/core、alembic、frontend/src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陶克钦</w:t>
            </w:r>
          </w:p>
        </w:tc>
        <w:tc>
          <w:tcPr>
            <w:tcW w:type="dxa" w:w="130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247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20,995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1,173</w:t>
            </w:r>
          </w:p>
        </w:tc>
        <w:tc>
          <w:tcPr>
            <w:tcW w:type="dxa" w:w="374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backend/services、backend/routers、frontend/src、video_parser、docs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潘卓然</w:t>
            </w:r>
          </w:p>
        </w:tc>
        <w:tc>
          <w:tcPr>
            <w:tcW w:type="dxa" w:w="130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32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5,647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87</w:t>
            </w:r>
          </w:p>
        </w:tc>
        <w:tc>
          <w:tcPr>
            <w:tcW w:type="dxa" w:w="374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frontend/src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陈澜</w:t>
            </w:r>
          </w:p>
        </w:tc>
        <w:tc>
          <w:tcPr>
            <w:tcW w:type="dxa" w:w="130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47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1,516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484</w:t>
            </w:r>
          </w:p>
        </w:tc>
        <w:tc>
          <w:tcPr>
            <w:tcW w:type="dxa" w:w="374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ai/rag、ai/prompts、ai/intent、ai/fusion、ai/speech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赵钰洁</w:t>
            </w:r>
          </w:p>
        </w:tc>
        <w:tc>
          <w:tcPr>
            <w:tcW w:type="dxa" w:w="130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1,177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203</w:t>
            </w:r>
          </w:p>
        </w:tc>
        <w:tc>
          <w:tcPr>
            <w:tcW w:type="dxa" w:w="374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gen/parse、gen/pptx、gen/docx、gen/anim</w:t>
            </w:r>
          </w:p>
        </w:tc>
      </w:tr>
      <w:tr>
        <w:tc>
          <w:tcPr>
            <w:tcW w:type="dxa" w:w="1077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合计</w:t>
            </w:r>
          </w:p>
        </w:tc>
        <w:tc>
          <w:tcPr>
            <w:tcW w:type="dxa" w:w="130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705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65,670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7,038</w:t>
            </w:r>
          </w:p>
        </w:tc>
        <w:tc>
          <w:tcPr>
            <w:tcW w:type="dxa" w:w="3742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</w:tbl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