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RUN OF SHOW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One architecture. Then each role.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Beginner deck v15 + optional advanced clinic v7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rPr>
          <w:tblHeader w:val="true"/>
        </w:trP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NON-NEGOTIABLE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The beginner room is command-free. Start from the visible screen, give one action, wait, verify DONE WHEN and use the full Setup Helper prompt at the first mismatch.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rPr>
          <w:tblHeader w:val="true"/>
        </w:trP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  <w:vAlign w:val="center"/>
          </w:tcPr>
          <w:p>
            <w:r>
              <w:rPr>
                <w:rFonts w:ascii="Arial" w:hAnsi="Arial"/>
                <w:b/>
                <w:i w:val="0"/>
                <w:color w:val="F2C14E"/>
                <w:sz w:val="18"/>
              </w:rPr>
              <w:t>CORE MESSAGE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  <w:vAlign w:val="center"/>
          </w:tcPr>
          <w:p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>You are learning to wear Codex like an Iron Man suit. You provide the mission and judgment. Codex performs approved work through a controlled autonomous loop.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900"/>
        <w:gridCol w:w="4100"/>
        <w:gridCol w:w="3360"/>
      </w:tblGrid>
      <w:tr>
        <w:trPr>
          <w:tblHeader w:val="true"/>
        </w:trPr>
        <w:tc>
          <w:tcPr>
            <w:tcW w:type="dxa" w:w="19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Layer</w:t>
            </w:r>
          </w:p>
        </w:tc>
        <w:tc>
          <w:tcPr>
            <w:tcW w:type="dxa" w:w="41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Facilitator wording</w:t>
            </w:r>
          </w:p>
        </w:tc>
        <w:tc>
          <w:tcPr>
            <w:tcW w:type="dxa" w:w="336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What must stay separate</w:t>
            </w:r>
          </w:p>
        </w:tc>
      </w:tr>
      <w:tr>
        <w:tc>
          <w:tcPr>
            <w:tcW w:type="dxa" w:w="19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PUBLIC v1.5 KIT</w:t>
            </w:r>
          </w:p>
        </w:tc>
        <w:tc>
          <w:tcPr>
            <w:tcW w:type="dxa" w:w="41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Everyone gets the same clean system and reference source.</w:t>
            </w:r>
          </w:p>
        </w:tc>
        <w:tc>
          <w:tcPr>
            <w:tcW w:type="dxa" w:w="33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No live company work or secrets.</w:t>
            </w:r>
          </w:p>
        </w:tc>
      </w:tr>
      <w:tr>
        <w:tc>
          <w:tcPr>
            <w:tcW w:type="dxa" w:w="19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WORK PROJECT</w:t>
            </w:r>
          </w:p>
        </w:tc>
        <w:tc>
          <w:tcPr>
            <w:tcW w:type="dxa" w:w="41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Open the exact private project or approved local worker for the job.</w:t>
            </w:r>
          </w:p>
        </w:tc>
        <w:tc>
          <w:tcPr>
            <w:tcW w:type="dxa" w:w="33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Its cursor, register, today file, ledger and evidence.</w:t>
            </w:r>
          </w:p>
        </w:tc>
      </w:tr>
      <w:tr>
        <w:tc>
          <w:tcPr>
            <w:tcW w:type="dxa" w:w="19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ROLE SKILL</w:t>
            </w:r>
          </w:p>
        </w:tc>
        <w:tc>
          <w:tcPr>
            <w:tcW w:type="dxa" w:w="41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Opt in only when the role can prove the need.</w:t>
            </w:r>
          </w:p>
        </w:tc>
        <w:tc>
          <w:tcPr>
            <w:tcW w:type="dxa" w:w="336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Akshar and Rahul are not blanket staff installs.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BEFORE PEOPLE ENTER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Prepare the room and the recovery path.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Do not discover access problems in the live session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Deck v15 opens in presentation mode and all links work.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Public release v1.5.0 is reachable; a checksum-verified offline copy is available.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Employee guide v6, Setup Helper card v6 and role workbook v7 are ready.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Email, Drive and optional LinkedIn starter folders plus the three-worker go-live checklist are available from the company kit.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Named private-repository invitations are ready only for assigned employees.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A Mac and Windows recovery path has been tested without a command.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No attendee receives organization Owner, Full access or an unapproved paid seat.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rPr>
          <w:tblHeader w:val="true"/>
        </w:trP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NO HEADCOUNT GUESS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Print or send only for the confirmed attendee list. Do not invent a quantity.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BEGINNER DECK CUES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The two changed moments matter most.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Pause and make each employee show the result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700"/>
        <w:gridCol w:w="4700"/>
        <w:gridCol w:w="2960"/>
      </w:tblGrid>
      <w:tr>
        <w:trPr>
          <w:tblHeader w:val="true"/>
        </w:trPr>
        <w:tc>
          <w:tcPr>
            <w:tcW w:type="dxa" w:w="17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Slide</w:t>
            </w:r>
          </w:p>
        </w:tc>
        <w:tc>
          <w:tcPr>
            <w:tcW w:type="dxa" w:w="47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Say</w:t>
            </w:r>
          </w:p>
        </w:tc>
        <w:tc>
          <w:tcPr>
            <w:tcW w:type="dxa" w:w="296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DONE WHEN</w:t>
            </w:r>
          </w:p>
        </w:tc>
      </w:tr>
      <w:tr>
        <w:tc>
          <w:tcPr>
            <w:tcW w:type="dxa" w:w="17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16 — One public kit</w:t>
            </w:r>
          </w:p>
        </w:tc>
        <w:tc>
          <w:tcPr>
            <w:tcW w:type="dxa" w:w="47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The public release is the setup/update source. The live work project is separate.</w:t>
            </w:r>
          </w:p>
        </w:tc>
        <w:tc>
          <w:tcPr>
            <w:tcW w:type="dxa" w:w="29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AGENTS.md is visible in the correct private or local work project.</w:t>
            </w:r>
          </w:p>
        </w:tc>
      </w:tr>
      <w:tr>
        <w:tc>
          <w:tcPr>
            <w:tcW w:type="dxa" w:w="17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16 — Checkpoint</w:t>
            </w:r>
          </w:p>
        </w:tc>
        <w:tc>
          <w:tcPr>
            <w:tcW w:type="dxa" w:w="47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Updates change managed system files, not employee state.</w:t>
            </w:r>
          </w:p>
        </w:tc>
        <w:tc>
          <w:tcPr>
            <w:tcW w:type="dxa" w:w="29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The employee can point to their separate work folder and state files.</w:t>
            </w:r>
          </w:p>
        </w:tc>
      </w:tr>
      <w:tr>
        <w:tc>
          <w:tcPr>
            <w:tcW w:type="dxa" w:w="17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26 — Go-live</w:t>
            </w:r>
          </w:p>
        </w:tc>
        <w:tc>
          <w:tcPr>
            <w:tcW w:type="dxa" w:w="47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Available is not active. Email and FULL DRIVE INDEX require visible proof; TEST 25 is setup only. Optional LinkedIn proves @Computer locally, stops Computer + Chrome, then hands LinkedIn to the employee.</w:t>
            </w:r>
          </w:p>
        </w:tc>
        <w:tc>
          <w:tcPr>
            <w:tcW w:type="dxa" w:w="296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The employee states Email and Drive LIVE or an exact blocker, plus optional LinkedIn LIVE, NOT ENABLED BY CHOICE or a blocker.</w:t>
            </w:r>
          </w:p>
        </w:tc>
      </w:tr>
    </w:tbl>
    <w:p>
      <w:pPr>
        <w:spacing w:after="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rPr>
          <w:tblHeader w:val="true"/>
        </w:trP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RESCUE CUE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At the first different screen, stop the group path for that employee and start the complete Setup Helper prompt. Do not improvise technical steps.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rPr>
          <w:tblHeader w:val="true"/>
        </w:trP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E3EEF2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PRIVATE ACCESS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E3EEF2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A private operations invitation is issued only to the named role. Public-kit access never needs a collaborator invitation.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HANDS-ON PROOF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Collect evidence, not nods.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Installed, downloaded and connected are intermediate states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760"/>
        <w:gridCol w:w="8600"/>
      </w:tblGrid>
      <w:tr>
        <w:trPr>
          <w:tblHeader w:val="true"/>
        </w:trPr>
        <w:tc>
          <w:tcPr>
            <w:tcW w:type="dxa" w:w="760"/>
            <w:tcMar>
              <w:top w:w="100" w:type="dxa"/>
              <w:start w:w="130" w:type="dxa"/>
              <w:bottom w:w="100" w:type="dxa"/>
              <w:end w:w="130" w:type="dxa"/>
            </w:tcMar>
            <w:shd w:fill="2D713D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860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</w:tcPr>
          <w:p>
            <w:r>
              <w:rPr>
                <w:rFonts w:ascii="Arial" w:hAnsi="Arial"/>
                <w:b/>
                <w:i w:val="0"/>
                <w:color w:val="103323"/>
                <w:sz w:val="22"/>
              </w:rPr>
              <w:t>Verify the project.</w:t>
            </w:r>
          </w:p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Ask each employee to show AGENTS.md and the startup-test answer.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D713D"/>
                <w:sz w:val="17"/>
              </w:rPr>
              <w:t>DONE WHEN: The expected task or NOT SET is visible.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760"/>
        <w:gridCol w:w="8600"/>
      </w:tblGrid>
      <w:tr>
        <w:trPr>
          <w:tblHeader w:val="true"/>
        </w:trPr>
        <w:tc>
          <w:tcPr>
            <w:tcW w:type="dxa" w:w="760"/>
            <w:tcMar>
              <w:top w:w="100" w:type="dxa"/>
              <w:start w:w="130" w:type="dxa"/>
              <w:bottom w:w="100" w:type="dxa"/>
              <w:end w:w="130" w:type="dxa"/>
            </w:tcMar>
            <w:shd w:fill="2D713D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860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</w:tcPr>
          <w:p>
            <w:r>
              <w:rPr>
                <w:rFonts w:ascii="Arial" w:hAnsi="Arial"/>
                <w:b/>
                <w:i w:val="0"/>
                <w:color w:val="103323"/>
                <w:sz w:val="22"/>
              </w:rPr>
              <w:t>Verify the account and boundary.</w:t>
            </w:r>
          </w:p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Ask the employee to point to Ask for approval and the approved company account. Do not view their secret information.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D713D"/>
                <w:sz w:val="17"/>
              </w:rPr>
              <w:t>DONE WHEN: The account and approval mode are visible.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760"/>
        <w:gridCol w:w="8600"/>
      </w:tblGrid>
      <w:tr>
        <w:trPr>
          <w:tblHeader w:val="true"/>
        </w:trPr>
        <w:tc>
          <w:tcPr>
            <w:tcW w:type="dxa" w:w="760"/>
            <w:tcMar>
              <w:top w:w="100" w:type="dxa"/>
              <w:start w:w="130" w:type="dxa"/>
              <w:bottom w:w="100" w:type="dxa"/>
              <w:end w:w="130" w:type="dxa"/>
            </w:tcMar>
            <w:shd w:fill="2D713D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860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</w:tcPr>
          <w:p>
            <w:r>
              <w:rPr>
                <w:rFonts w:ascii="Arial" w:hAnsi="Arial"/>
                <w:b/>
                <w:i w:val="0"/>
                <w:color w:val="103323"/>
                <w:sz w:val="22"/>
              </w:rPr>
              <w:t>Verify two homework workers.</w:t>
            </w:r>
          </w:p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Open Email and Drive separately; never accept one mixed folder.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D713D"/>
                <w:sz w:val="17"/>
              </w:rPr>
              <w:t>DONE WHEN: Both folders have independent state files.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760"/>
        <w:gridCol w:w="8600"/>
      </w:tblGrid>
      <w:tr>
        <w:trPr>
          <w:tblHeader w:val="true"/>
        </w:trPr>
        <w:tc>
          <w:tcPr>
            <w:tcW w:type="dxa" w:w="760"/>
            <w:tcMar>
              <w:top w:w="100" w:type="dxa"/>
              <w:start w:w="130" w:type="dxa"/>
              <w:bottom w:w="100" w:type="dxa"/>
              <w:end w:w="130" w:type="dxa"/>
            </w:tcMar>
            <w:shd w:fill="2D713D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860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</w:tcPr>
          <w:p>
            <w:r>
              <w:rPr>
                <w:rFonts w:ascii="Arial" w:hAnsi="Arial"/>
                <w:b/>
                <w:i w:val="0"/>
                <w:color w:val="103323"/>
                <w:sz w:val="22"/>
              </w:rPr>
              <w:t>Verify Email persistence.</w:t>
            </w:r>
          </w:p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Check the pilot report, chosen local time and time zone, ruled filing mode and active automation card. Confirm permanent Gmail filters were not changed.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D713D"/>
                <w:sz w:val="17"/>
              </w:rPr>
              <w:t>DONE WHEN: The report and schedule agree with the Email project.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760"/>
        <w:gridCol w:w="8600"/>
      </w:tblGrid>
      <w:tr>
        <w:trPr>
          <w:tblHeader w:val="true"/>
        </w:trPr>
        <w:tc>
          <w:tcPr>
            <w:tcW w:type="dxa" w:w="760"/>
            <w:tcMar>
              <w:top w:w="100" w:type="dxa"/>
              <w:start w:w="130" w:type="dxa"/>
              <w:bottom w:w="100" w:type="dxa"/>
              <w:end w:w="130" w:type="dxa"/>
            </w:tcMar>
            <w:shd w:fill="2D713D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860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</w:tcPr>
          <w:p>
            <w:r>
              <w:rPr>
                <w:rFonts w:ascii="Arial" w:hAnsi="Arial"/>
                <w:b/>
                <w:i w:val="0"/>
                <w:color w:val="103323"/>
                <w:sz w:val="22"/>
              </w:rPr>
              <w:t>Verify the Full Drive Index.</w:t>
            </w:r>
          </w:p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Collect the index summary, final cursor and validator result; confirm every supported scope ended and Drive was unchanged. TEST 25 is setup proof only.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D713D"/>
                <w:sz w:val="17"/>
              </w:rPr>
              <w:t>DONE WHEN: Full Drive proof passes or one exact blocker is recorded.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760"/>
        <w:gridCol w:w="8600"/>
      </w:tblGrid>
      <w:tr>
        <w:trPr>
          <w:tblHeader w:val="true"/>
        </w:trPr>
        <w:tc>
          <w:tcPr>
            <w:tcW w:type="dxa" w:w="760"/>
            <w:tcMar>
              <w:top w:w="100" w:type="dxa"/>
              <w:start w:w="130" w:type="dxa"/>
              <w:bottom w:w="100" w:type="dxa"/>
              <w:end w:w="130" w:type="dxa"/>
            </w:tcMar>
            <w:shd w:fill="2D713D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0"/>
              </w:rPr>
              <w:t>6</w:t>
            </w:r>
          </w:p>
        </w:tc>
        <w:tc>
          <w:tcPr>
            <w:tcW w:type="dxa" w:w="860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</w:tcPr>
          <w:p>
            <w:r>
              <w:rPr>
                <w:rFonts w:ascii="Arial" w:hAnsi="Arial"/>
                <w:b/>
                <w:i w:val="0"/>
                <w:color w:val="103323"/>
                <w:sz w:val="22"/>
              </w:rPr>
              <w:t>Verify right-level LinkedIn handoff.</w:t>
            </w:r>
          </w:p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If chosen, inspect the scoped local-control proof, YOUR TURN ON LINKEDIN handoff, approved schedule, queue headings, counts and employee-confirmed outcomes. Never collect message bodies.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D713D"/>
                <w:sz w:val="17"/>
              </w:rPr>
              <w:t>DONE WHEN: Computer and Chrome stopped before LinkedIn; the local queue passes; no AI LinkedIn action occurred.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OPTIONAL ADVANCED CLINIC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Stay-back only after the beginner room closes.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Technical users may use Git and the lifecycle CLI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900"/>
        <w:gridCol w:w="4300"/>
        <w:gridCol w:w="3160"/>
      </w:tblGrid>
      <w:tr>
        <w:trPr>
          <w:tblHeader w:val="true"/>
        </w:trPr>
        <w:tc>
          <w:tcPr>
            <w:tcW w:type="dxa" w:w="19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Topic</w:t>
            </w:r>
          </w:p>
        </w:tc>
        <w:tc>
          <w:tcPr>
            <w:tcW w:type="dxa" w:w="43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Clinic proof</w:t>
            </w:r>
          </w:p>
        </w:tc>
        <w:tc>
          <w:tcPr>
            <w:tcW w:type="dxa" w:w="316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Stop condition</w:t>
            </w:r>
          </w:p>
        </w:tc>
      </w:tr>
      <w:tr>
        <w:tc>
          <w:tcPr>
            <w:tcW w:type="dxa" w:w="19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Public release</w:t>
            </w:r>
          </w:p>
        </w:tc>
        <w:tc>
          <w:tcPr>
            <w:tcW w:type="dxa" w:w="43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Version and release-manifest integrity pass.</w:t>
            </w:r>
          </w:p>
        </w:tc>
        <w:tc>
          <w:tcPr>
            <w:tcW w:type="dxa" w:w="31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Any hash or metadata mismatch.</w:t>
            </w:r>
          </w:p>
        </w:tc>
      </w:tr>
      <w:tr>
        <w:tc>
          <w:tcPr>
            <w:tcW w:type="dxa" w:w="19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Private work</w:t>
            </w:r>
          </w:p>
        </w:tc>
        <w:tc>
          <w:tcPr>
            <w:tcW w:type="dxa" w:w="43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Both approved CLIs read the same separate project.</w:t>
            </w:r>
          </w:p>
        </w:tc>
        <w:tc>
          <w:tcPr>
            <w:tcW w:type="dxa" w:w="31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 CLI opens the public distribution repo as live work.</w:t>
            </w:r>
          </w:p>
        </w:tc>
      </w:tr>
      <w:tr>
        <w:tc>
          <w:tcPr>
            <w:tcW w:type="dxa" w:w="19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Role skill</w:t>
            </w:r>
          </w:p>
        </w:tc>
        <w:tc>
          <w:tcPr>
            <w:tcW w:type="dxa" w:w="43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One exact skill invokes, loads its references and returns one safe next action.</w:t>
            </w:r>
          </w:p>
        </w:tc>
        <w:tc>
          <w:tcPr>
            <w:tcW w:type="dxa" w:w="316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No named role approval or no bounded use case.</w:t>
            </w:r>
          </w:p>
        </w:tc>
      </w:tr>
      <w:tr>
        <w:tc>
          <w:tcPr>
            <w:tcW w:type="dxa" w:w="190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Upgrade/remove</w:t>
            </w:r>
          </w:p>
        </w:tc>
        <w:tc>
          <w:tcPr>
            <w:tcW w:type="dxa" w:w="430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 checkpointed action archives the prior managed copy and preserves worker state.</w:t>
            </w:r>
          </w:p>
        </w:tc>
        <w:tc>
          <w:tcPr>
            <w:tcW w:type="dxa" w:w="316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 live task is active or state is unclear.</w:t>
            </w:r>
          </w:p>
        </w:tc>
      </w:tr>
    </w:tbl>
    <w:p>
      <w:pPr>
        <w:spacing w:after="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rPr>
          <w:tblHeader w:val="true"/>
        </w:trP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GATE 0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Medical claims, dosage, certification, legal text and spend are flagged, never fixed. There is no override.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SESSION CLOSE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Close every row with proof.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Anything incomplete becomes one precise blocker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Each employee's project path and active task are recorded.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Email and Full Drive are recorded LIVE or with one exact blocker; optional LinkedIn is LIVE, NOT ENABLED BY CHOICE or blocked.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Every private-access problem names the missing invitation and owner.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Every skill opt-in names the role, use case, test and keep/remove decision.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No company work was written to the public distribution repository.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Ledger, register, cursor and evidence log are updated.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Beginner and advanced materials are not mixed.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rPr>
          <w:tblHeader w:val="true"/>
        </w:trP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DISTRIBUTION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This runbook prepares a rollout. Sending employee messages, invitations or files is a separate owner-approved action.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037" w:right="1123" w:bottom="950" w:left="1123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5D7469"/>
        <w:sz w:val="16"/>
      </w:rPr>
      <w:t>Facilitator-held  ·  v1.5.0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/>
        <w:i w:val="0"/>
        <w:color w:val="5D7469"/>
        <w:sz w:val="16"/>
      </w:rPr>
      <w:t>Kairali AI Method  |  Facilitator runbook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8" w:lineRule="auto"/>
    </w:pPr>
    <w:rPr>
      <w:rFonts w:ascii="Arial" w:hAnsi="Arial"/>
      <w:color w:val="1734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332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33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D71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0332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/>
      <w:b/>
      <w:i/>
      <w:iCs/>
      <w:color w:val="10332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RUNBOOK v8 PUBLIC KIT</dc:title>
  <dc:subject>Facilitator runbook for public-kit company rollout</dc:subject>
  <dc:creator>Kairali AI Method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