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CASE STUDY</w:t>
        <w:br/>
        <w:t>STUDENT PERFORMANCE DATA ANALYSIS</w:t>
      </w:r>
    </w:p>
    <w:p>
      <w:pPr>
        <w:jc w:val="center"/>
      </w:pPr>
      <w:r>
        <w:rPr>
          <w:b/>
        </w:rPr>
        <w:t>Data Science Mini Project</w:t>
      </w:r>
    </w:p>
    <w:p>
      <w:r>
        <w:t>Student Name: __________________________</w:t>
      </w:r>
    </w:p>
    <w:p>
      <w:r>
        <w:t>Roll Number: ____________________________</w:t>
      </w:r>
    </w:p>
    <w:p>
      <w:r>
        <w:t>Course: BCA</w:t>
      </w:r>
    </w:p>
    <w:p>
      <w:r>
        <w:t>Submitted To: ___________________________</w:t>
      </w:r>
    </w:p>
    <w:p>
      <w:pPr>
        <w:pStyle w:val="Heading1"/>
      </w:pPr>
      <w:r>
        <w:t>1. Problem Statement</w:t>
      </w:r>
    </w:p>
    <w:p>
      <w:r>
        <w:t>The objective of this case study is to investigate what factors are associated with students' academic performance. The analysis focuses on marks distribution, subject-wise performance, attendance, study hours, gender and student category.</w:t>
      </w:r>
    </w:p>
    <w:p>
      <w:pPr>
        <w:pStyle w:val="Heading1"/>
      </w:pPr>
      <w:r>
        <w:t>2. Dataset Description</w:t>
      </w:r>
    </w:p>
    <w:p>
      <w:r>
        <w:t>The dataset contains 150 students and includes Student ID, Gender, Category, Attendance Percentage, Study Hours per Day, and marks in Mathematics, Python, DSA and English. Total and average marks are calculated during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Description</w:t>
            </w:r>
          </w:p>
        </w:tc>
      </w:tr>
      <w:tr>
        <w:tc>
          <w:tcPr>
            <w:tcW w:type="dxa" w:w="3312"/>
          </w:tcPr>
          <w:p>
            <w:r>
              <w:t>Student_ID</w:t>
            </w:r>
          </w:p>
        </w:tc>
        <w:tc>
          <w:tcPr>
            <w:tcW w:type="dxa" w:w="3312"/>
          </w:tcPr>
          <w:p>
            <w:r>
              <w:t>Object</w:t>
            </w:r>
          </w:p>
        </w:tc>
        <w:tc>
          <w:tcPr>
            <w:tcW w:type="dxa" w:w="3312"/>
          </w:tcPr>
          <w:p>
            <w:r>
              <w:t>Unique student ID</w:t>
            </w:r>
          </w:p>
        </w:tc>
      </w:tr>
      <w:tr>
        <w:tc>
          <w:tcPr>
            <w:tcW w:type="dxa" w:w="3312"/>
          </w:tcPr>
          <w:p>
            <w:r>
              <w:t>Gender</w:t>
            </w:r>
          </w:p>
        </w:tc>
        <w:tc>
          <w:tcPr>
            <w:tcW w:type="dxa" w:w="3312"/>
          </w:tcPr>
          <w:p>
            <w:r>
              <w:t>Object</w:t>
            </w:r>
          </w:p>
        </w:tc>
        <w:tc>
          <w:tcPr>
            <w:tcW w:type="dxa" w:w="3312"/>
          </w:tcPr>
          <w:p>
            <w:r>
              <w:t>Gender</w:t>
            </w:r>
          </w:p>
        </w:tc>
      </w:tr>
      <w:tr>
        <w:tc>
          <w:tcPr>
            <w:tcW w:type="dxa" w:w="3312"/>
          </w:tcPr>
          <w:p>
            <w:r>
              <w:t>Category</w:t>
            </w:r>
          </w:p>
        </w:tc>
        <w:tc>
          <w:tcPr>
            <w:tcW w:type="dxa" w:w="3312"/>
          </w:tcPr>
          <w:p>
            <w:r>
              <w:t>Object</w:t>
            </w:r>
          </w:p>
        </w:tc>
        <w:tc>
          <w:tcPr>
            <w:tcW w:type="dxa" w:w="3312"/>
          </w:tcPr>
          <w:p>
            <w:r>
              <w:t>Student category</w:t>
            </w:r>
          </w:p>
        </w:tc>
      </w:tr>
      <w:tr>
        <w:tc>
          <w:tcPr>
            <w:tcW w:type="dxa" w:w="3312"/>
          </w:tcPr>
          <w:p>
            <w:r>
              <w:t>Attendance_Percent</w:t>
            </w:r>
          </w:p>
        </w:tc>
        <w:tc>
          <w:tcPr>
            <w:tcW w:type="dxa" w:w="3312"/>
          </w:tcPr>
          <w:p>
            <w:r>
              <w:t>Float</w:t>
            </w:r>
          </w:p>
        </w:tc>
        <w:tc>
          <w:tcPr>
            <w:tcW w:type="dxa" w:w="3312"/>
          </w:tcPr>
          <w:p>
            <w:r>
              <w:t>Attendance percentage</w:t>
            </w:r>
          </w:p>
        </w:tc>
      </w:tr>
      <w:tr>
        <w:tc>
          <w:tcPr>
            <w:tcW w:type="dxa" w:w="3312"/>
          </w:tcPr>
          <w:p>
            <w:r>
              <w:t>Study_Hours_Per_Day</w:t>
            </w:r>
          </w:p>
        </w:tc>
        <w:tc>
          <w:tcPr>
            <w:tcW w:type="dxa" w:w="3312"/>
          </w:tcPr>
          <w:p>
            <w:r>
              <w:t>Float</w:t>
            </w:r>
          </w:p>
        </w:tc>
        <w:tc>
          <w:tcPr>
            <w:tcW w:type="dxa" w:w="3312"/>
          </w:tcPr>
          <w:p>
            <w:r>
              <w:t>Daily study hours</w:t>
            </w:r>
          </w:p>
        </w:tc>
      </w:tr>
      <w:tr>
        <w:tc>
          <w:tcPr>
            <w:tcW w:type="dxa" w:w="3312"/>
          </w:tcPr>
          <w:p>
            <w:r>
              <w:t>Mathematics_Marks</w:t>
            </w:r>
          </w:p>
        </w:tc>
        <w:tc>
          <w:tcPr>
            <w:tcW w:type="dxa" w:w="3312"/>
          </w:tcPr>
          <w:p>
            <w:r>
              <w:t>Integer</w:t>
            </w:r>
          </w:p>
        </w:tc>
        <w:tc>
          <w:tcPr>
            <w:tcW w:type="dxa" w:w="3312"/>
          </w:tcPr>
          <w:p>
            <w:r>
              <w:t>Mathematics marks</w:t>
            </w:r>
          </w:p>
        </w:tc>
      </w:tr>
      <w:tr>
        <w:tc>
          <w:tcPr>
            <w:tcW w:type="dxa" w:w="3312"/>
          </w:tcPr>
          <w:p>
            <w:r>
              <w:t>Python_Marks</w:t>
            </w:r>
          </w:p>
        </w:tc>
        <w:tc>
          <w:tcPr>
            <w:tcW w:type="dxa" w:w="3312"/>
          </w:tcPr>
          <w:p>
            <w:r>
              <w:t>Integer</w:t>
            </w:r>
          </w:p>
        </w:tc>
        <w:tc>
          <w:tcPr>
            <w:tcW w:type="dxa" w:w="3312"/>
          </w:tcPr>
          <w:p>
            <w:r>
              <w:t>Python marks</w:t>
            </w:r>
          </w:p>
        </w:tc>
      </w:tr>
      <w:tr>
        <w:tc>
          <w:tcPr>
            <w:tcW w:type="dxa" w:w="3312"/>
          </w:tcPr>
          <w:p>
            <w:r>
              <w:t>DSA_Marks</w:t>
            </w:r>
          </w:p>
        </w:tc>
        <w:tc>
          <w:tcPr>
            <w:tcW w:type="dxa" w:w="3312"/>
          </w:tcPr>
          <w:p>
            <w:r>
              <w:t>Integer</w:t>
            </w:r>
          </w:p>
        </w:tc>
        <w:tc>
          <w:tcPr>
            <w:tcW w:type="dxa" w:w="3312"/>
          </w:tcPr>
          <w:p>
            <w:r>
              <w:t>DSA marks</w:t>
            </w:r>
          </w:p>
        </w:tc>
      </w:tr>
      <w:tr>
        <w:tc>
          <w:tcPr>
            <w:tcW w:type="dxa" w:w="3312"/>
          </w:tcPr>
          <w:p>
            <w:r>
              <w:t>English_Marks</w:t>
            </w:r>
          </w:p>
        </w:tc>
        <w:tc>
          <w:tcPr>
            <w:tcW w:type="dxa" w:w="3312"/>
          </w:tcPr>
          <w:p>
            <w:r>
              <w:t>Integer</w:t>
            </w:r>
          </w:p>
        </w:tc>
        <w:tc>
          <w:tcPr>
            <w:tcW w:type="dxa" w:w="3312"/>
          </w:tcPr>
          <w:p>
            <w:r>
              <w:t>English marks</w:t>
            </w:r>
          </w:p>
        </w:tc>
      </w:tr>
      <w:tr>
        <w:tc>
          <w:tcPr>
            <w:tcW w:type="dxa" w:w="3312"/>
          </w:tcPr>
          <w:p>
            <w:r>
              <w:t>Average_Marks</w:t>
            </w:r>
          </w:p>
        </w:tc>
        <w:tc>
          <w:tcPr>
            <w:tcW w:type="dxa" w:w="3312"/>
          </w:tcPr>
          <w:p>
            <w:r>
              <w:t>Float</w:t>
            </w:r>
          </w:p>
        </w:tc>
        <w:tc>
          <w:tcPr>
            <w:tcW w:type="dxa" w:w="3312"/>
          </w:tcPr>
          <w:p>
            <w:r>
              <w:t>Average of four subjects</w:t>
            </w:r>
          </w:p>
        </w:tc>
      </w:tr>
    </w:tbl>
    <w:p>
      <w:pPr>
        <w:pStyle w:val="Heading1"/>
      </w:pPr>
      <w:r>
        <w:t>3. Data Cleaning Using Pandas</w:t>
      </w:r>
    </w:p>
    <w:p>
      <w:pPr>
        <w:pStyle w:val="ListBullet"/>
      </w:pPr>
      <w:r>
        <w:t>Missing values were identified and median-filled.</w:t>
      </w:r>
    </w:p>
    <w:p>
      <w:pPr>
        <w:pStyle w:val="ListBullet"/>
      </w:pPr>
      <w:r>
        <w:t>Duplicate records were removed with drop_duplicates().</w:t>
      </w:r>
    </w:p>
    <w:p>
      <w:pPr>
        <w:pStyle w:val="ListBullet"/>
      </w:pPr>
      <w:r>
        <w:t>Extra spaces and inconsistent capitalization in Gender and Category were standardized.</w:t>
      </w:r>
    </w:p>
    <w:p>
      <w:pPr>
        <w:pStyle w:val="ListBullet"/>
      </w:pPr>
      <w:r>
        <w:t>Attendance and study-hour fields were converted to numeric values.</w:t>
      </w:r>
    </w:p>
    <w:p>
      <w:pPr>
        <w:pStyle w:val="ListBullet"/>
      </w:pPr>
      <w:r>
        <w:t>Total and average marks were derived after cleaning.</w:t>
      </w:r>
    </w:p>
    <w:p>
      <w:pPr>
        <w:pStyle w:val="Heading1"/>
      </w:pPr>
      <w:r>
        <w:t>4. Data Analysis Using NumPy &amp; Pandas</w:t>
      </w:r>
    </w:p>
    <w:p>
      <w:r>
        <w:t>Average attendance = 78.70%.</w:t>
      </w:r>
    </w:p>
    <w:p>
      <w:r>
        <w:t>Average study time = 3.67 hours/day.</w:t>
      </w:r>
    </w:p>
    <w:p>
      <w:r>
        <w:t>Overall average marks = 51.48.</w:t>
      </w:r>
    </w:p>
    <w:p>
      <w:r>
        <w:t>Attendance vs marks correlation = 0.38.</w:t>
      </w:r>
    </w:p>
    <w:p>
      <w:r>
        <w:t>Study hours vs marks correlation = 0.56.</w:t>
      </w:r>
    </w:p>
    <w:p>
      <w:r>
        <w:t>Subject averages:</w:t>
      </w:r>
    </w:p>
    <w:p>
      <w:pPr>
        <w:pStyle w:val="ListBullet"/>
      </w:pPr>
      <w:r>
        <w:t>English: 53.96</w:t>
      </w:r>
    </w:p>
    <w:p>
      <w:pPr>
        <w:pStyle w:val="ListBullet"/>
      </w:pPr>
      <w:r>
        <w:t>Mathematics: 52.20</w:t>
      </w:r>
    </w:p>
    <w:p>
      <w:pPr>
        <w:pStyle w:val="ListBullet"/>
      </w:pPr>
      <w:r>
        <w:t>Python: 51.49</w:t>
      </w:r>
    </w:p>
    <w:p>
      <w:pPr>
        <w:pStyle w:val="ListBullet"/>
      </w:pPr>
      <w:r>
        <w:t>DSA: 48.27</w:t>
      </w:r>
    </w:p>
    <w:p>
      <w:r>
        <w:t>Gender averages:</w:t>
      </w:r>
    </w:p>
    <w:p>
      <w:pPr>
        <w:pStyle w:val="ListBullet"/>
      </w:pPr>
      <w:r>
        <w:t>Female: 51.35</w:t>
      </w:r>
    </w:p>
    <w:p>
      <w:pPr>
        <w:pStyle w:val="ListBullet"/>
      </w:pPr>
      <w:r>
        <w:t>Male: 51.57</w:t>
      </w:r>
    </w:p>
    <w:p>
      <w:r>
        <w:t>Category averages:</w:t>
      </w:r>
    </w:p>
    <w:p>
      <w:pPr>
        <w:pStyle w:val="ListBullet"/>
      </w:pPr>
      <w:r>
        <w:t>General: 51.38</w:t>
      </w:r>
    </w:p>
    <w:p>
      <w:pPr>
        <w:pStyle w:val="ListBullet"/>
      </w:pPr>
      <w:r>
        <w:t>OBC: 52.10</w:t>
      </w:r>
    </w:p>
    <w:p>
      <w:pPr>
        <w:pStyle w:val="ListBullet"/>
      </w:pPr>
      <w:r>
        <w:t>SC: 50.35</w:t>
      </w:r>
    </w:p>
    <w:p>
      <w:pPr>
        <w:pStyle w:val="ListBullet"/>
      </w:pPr>
      <w:r>
        <w:t>ST: 52.05</w:t>
      </w:r>
    </w:p>
    <w:p>
      <w:pPr>
        <w:pStyle w:val="Heading1"/>
      </w:pPr>
      <w:r>
        <w:t>5. Data Visualization</w:t>
      </w:r>
    </w:p>
    <w:p>
      <w:pPr>
        <w:jc w:val="center"/>
      </w:pPr>
      <w:r>
        <w:t>Figure 1: Distribution of Average Marks</w:t>
      </w:r>
    </w:p>
    <w:p>
      <w:pPr>
        <w:jc w:val="center"/>
      </w:pPr>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01_histogram.png"/>
                    <pic:cNvPicPr/>
                  </pic:nvPicPr>
                  <pic:blipFill>
                    <a:blip r:embed="rId9"/>
                    <a:stretch>
                      <a:fillRect/>
                    </a:stretch>
                  </pic:blipFill>
                  <pic:spPr>
                    <a:xfrm>
                      <a:off x="0" y="0"/>
                      <a:ext cx="5303520" cy="3409406"/>
                    </a:xfrm>
                    <a:prstGeom prst="rect"/>
                  </pic:spPr>
                </pic:pic>
              </a:graphicData>
            </a:graphic>
          </wp:inline>
        </w:drawing>
      </w:r>
    </w:p>
    <w:p>
      <w:pPr>
        <w:jc w:val="center"/>
      </w:pPr>
      <w:r>
        <w:t>Figure 2: Average Marks by Subject</w:t>
      </w:r>
    </w:p>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02_subject_bar.png"/>
                    <pic:cNvPicPr/>
                  </pic:nvPicPr>
                  <pic:blipFill>
                    <a:blip r:embed="rId10"/>
                    <a:stretch>
                      <a:fillRect/>
                    </a:stretch>
                  </pic:blipFill>
                  <pic:spPr>
                    <a:xfrm>
                      <a:off x="0" y="0"/>
                      <a:ext cx="5303520" cy="3409406"/>
                    </a:xfrm>
                    <a:prstGeom prst="rect"/>
                  </pic:spPr>
                </pic:pic>
              </a:graphicData>
            </a:graphic>
          </wp:inline>
        </w:drawing>
      </w:r>
    </w:p>
    <w:p>
      <w:pPr>
        <w:jc w:val="center"/>
      </w:pPr>
      <w:r>
        <w:t>Figure 3: Attendance vs Average Marks</w:t>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03_attendance_scatter.png"/>
                    <pic:cNvPicPr/>
                  </pic:nvPicPr>
                  <pic:blipFill>
                    <a:blip r:embed="rId11"/>
                    <a:stretch>
                      <a:fillRect/>
                    </a:stretch>
                  </pic:blipFill>
                  <pic:spPr>
                    <a:xfrm>
                      <a:off x="0" y="0"/>
                      <a:ext cx="5303520" cy="3409406"/>
                    </a:xfrm>
                    <a:prstGeom prst="rect"/>
                  </pic:spPr>
                </pic:pic>
              </a:graphicData>
            </a:graphic>
          </wp:inline>
        </w:drawing>
      </w:r>
    </w:p>
    <w:p>
      <w:pPr>
        <w:jc w:val="center"/>
      </w:pPr>
      <w:r>
        <w:t>Figure 4: Average Marks by Gender</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04_gender_bar.png"/>
                    <pic:cNvPicPr/>
                  </pic:nvPicPr>
                  <pic:blipFill>
                    <a:blip r:embed="rId12"/>
                    <a:stretch>
                      <a:fillRect/>
                    </a:stretch>
                  </pic:blipFill>
                  <pic:spPr>
                    <a:xfrm>
                      <a:off x="0" y="0"/>
                      <a:ext cx="5303520" cy="3409406"/>
                    </a:xfrm>
                    <a:prstGeom prst="rect"/>
                  </pic:spPr>
                </pic:pic>
              </a:graphicData>
            </a:graphic>
          </wp:inline>
        </w:drawing>
      </w:r>
    </w:p>
    <w:p>
      <w:pPr>
        <w:jc w:val="center"/>
      </w:pPr>
      <w:r>
        <w:t>Figure 5: Average Marks by Category</w:t>
      </w:r>
    </w:p>
    <w:p>
      <w:pPr>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05_category_bar.png"/>
                    <pic:cNvPicPr/>
                  </pic:nvPicPr>
                  <pic:blipFill>
                    <a:blip r:embed="rId13"/>
                    <a:stretch>
                      <a:fillRect/>
                    </a:stretch>
                  </pic:blipFill>
                  <pic:spPr>
                    <a:xfrm>
                      <a:off x="0" y="0"/>
                      <a:ext cx="5303520" cy="3409406"/>
                    </a:xfrm>
                    <a:prstGeom prst="rect"/>
                  </pic:spPr>
                </pic:pic>
              </a:graphicData>
            </a:graphic>
          </wp:inline>
        </w:drawing>
      </w:r>
    </w:p>
    <w:p>
      <w:pPr>
        <w:jc w:val="center"/>
      </w:pPr>
      <w:r>
        <w:t>Figure 6: Subject-wise Marks Distribution</w:t>
      </w:r>
    </w:p>
    <w:p>
      <w:pPr>
        <w:jc w:val="center"/>
      </w:pPr>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06_boxplot.png"/>
                    <pic:cNvPicPr/>
                  </pic:nvPicPr>
                  <pic:blipFill>
                    <a:blip r:embed="rId14"/>
                    <a:stretch>
                      <a:fillRect/>
                    </a:stretch>
                  </pic:blipFill>
                  <pic:spPr>
                    <a:xfrm>
                      <a:off x="0" y="0"/>
                      <a:ext cx="5303520" cy="3409406"/>
                    </a:xfrm>
                    <a:prstGeom prst="rect"/>
                  </pic:spPr>
                </pic:pic>
              </a:graphicData>
            </a:graphic>
          </wp:inline>
        </w:drawing>
      </w:r>
    </w:p>
    <w:p>
      <w:pPr>
        <w:jc w:val="center"/>
      </w:pPr>
      <w:r>
        <w:t>Figure 7: Correlation Heatmap</w:t>
      </w:r>
    </w:p>
    <w:p>
      <w:pPr>
        <w:jc w:val="center"/>
      </w:pPr>
      <w:r>
        <w:drawing>
          <wp:inline xmlns:a="http://schemas.openxmlformats.org/drawingml/2006/main" xmlns:pic="http://schemas.openxmlformats.org/drawingml/2006/picture">
            <wp:extent cx="5303520" cy="4167051"/>
            <wp:docPr id="7" name="Picture 7"/>
            <wp:cNvGraphicFramePr>
              <a:graphicFrameLocks noChangeAspect="1"/>
            </wp:cNvGraphicFramePr>
            <a:graphic>
              <a:graphicData uri="http://schemas.openxmlformats.org/drawingml/2006/picture">
                <pic:pic>
                  <pic:nvPicPr>
                    <pic:cNvPr id="0" name="07_heatmap.png"/>
                    <pic:cNvPicPr/>
                  </pic:nvPicPr>
                  <pic:blipFill>
                    <a:blip r:embed="rId15"/>
                    <a:stretch>
                      <a:fillRect/>
                    </a:stretch>
                  </pic:blipFill>
                  <pic:spPr>
                    <a:xfrm>
                      <a:off x="0" y="0"/>
                      <a:ext cx="5303520" cy="4167051"/>
                    </a:xfrm>
                    <a:prstGeom prst="rect"/>
                  </pic:spPr>
                </pic:pic>
              </a:graphicData>
            </a:graphic>
          </wp:inline>
        </w:drawing>
      </w:r>
    </w:p>
    <w:p>
      <w:pPr>
        <w:jc w:val="center"/>
      </w:pPr>
      <w:r>
        <w:t>Figure 8: Gender-wise Distribution</w:t>
      </w:r>
    </w:p>
    <w:p>
      <w:pPr>
        <w:jc w:val="center"/>
      </w:pPr>
      <w:r>
        <w:drawing>
          <wp:inline xmlns:a="http://schemas.openxmlformats.org/drawingml/2006/main" xmlns:pic="http://schemas.openxmlformats.org/drawingml/2006/picture">
            <wp:extent cx="5303520" cy="3409406"/>
            <wp:docPr id="8" name="Picture 8"/>
            <wp:cNvGraphicFramePr>
              <a:graphicFrameLocks noChangeAspect="1"/>
            </wp:cNvGraphicFramePr>
            <a:graphic>
              <a:graphicData uri="http://schemas.openxmlformats.org/drawingml/2006/picture">
                <pic:pic>
                  <pic:nvPicPr>
                    <pic:cNvPr id="0" name="08_violin.png"/>
                    <pic:cNvPicPr/>
                  </pic:nvPicPr>
                  <pic:blipFill>
                    <a:blip r:embed="rId16"/>
                    <a:stretch>
                      <a:fillRect/>
                    </a:stretch>
                  </pic:blipFill>
                  <pic:spPr>
                    <a:xfrm>
                      <a:off x="0" y="0"/>
                      <a:ext cx="5303520" cy="3409406"/>
                    </a:xfrm>
                    <a:prstGeom prst="rect"/>
                  </pic:spPr>
                </pic:pic>
              </a:graphicData>
            </a:graphic>
          </wp:inline>
        </w:drawing>
      </w:r>
    </w:p>
    <w:p>
      <w:pPr>
        <w:jc w:val="center"/>
      </w:pPr>
      <w:r>
        <w:t>Figure 9: Category Count</w:t>
      </w:r>
    </w:p>
    <w:p>
      <w:pPr>
        <w:jc w:val="center"/>
      </w:pPr>
      <w:r>
        <w:drawing>
          <wp:inline xmlns:a="http://schemas.openxmlformats.org/drawingml/2006/main" xmlns:pic="http://schemas.openxmlformats.org/drawingml/2006/picture">
            <wp:extent cx="5303520" cy="3409406"/>
            <wp:docPr id="9" name="Picture 9"/>
            <wp:cNvGraphicFramePr>
              <a:graphicFrameLocks noChangeAspect="1"/>
            </wp:cNvGraphicFramePr>
            <a:graphic>
              <a:graphicData uri="http://schemas.openxmlformats.org/drawingml/2006/picture">
                <pic:pic>
                  <pic:nvPicPr>
                    <pic:cNvPr id="0" name="09_countplot.png"/>
                    <pic:cNvPicPr/>
                  </pic:nvPicPr>
                  <pic:blipFill>
                    <a:blip r:embed="rId17"/>
                    <a:stretch>
                      <a:fillRect/>
                    </a:stretch>
                  </pic:blipFill>
                  <pic:spPr>
                    <a:xfrm>
                      <a:off x="0" y="0"/>
                      <a:ext cx="5303520" cy="3409406"/>
                    </a:xfrm>
                    <a:prstGeom prst="rect"/>
                  </pic:spPr>
                </pic:pic>
              </a:graphicData>
            </a:graphic>
          </wp:inline>
        </w:drawing>
      </w:r>
    </w:p>
    <w:p>
      <w:pPr>
        <w:jc w:val="center"/>
      </w:pPr>
      <w:r>
        <w:t>Figure 10: Pair Plot</w:t>
      </w:r>
    </w:p>
    <w:p>
      <w:pPr>
        <w:jc w:val="center"/>
      </w:pPr>
      <w:r>
        <w:drawing>
          <wp:inline xmlns:a="http://schemas.openxmlformats.org/drawingml/2006/main" xmlns:pic="http://schemas.openxmlformats.org/drawingml/2006/picture">
            <wp:extent cx="5303520" cy="5579846"/>
            <wp:docPr id="10" name="Picture 10"/>
            <wp:cNvGraphicFramePr>
              <a:graphicFrameLocks noChangeAspect="1"/>
            </wp:cNvGraphicFramePr>
            <a:graphic>
              <a:graphicData uri="http://schemas.openxmlformats.org/drawingml/2006/picture">
                <pic:pic>
                  <pic:nvPicPr>
                    <pic:cNvPr id="0" name="10_pairplot.png"/>
                    <pic:cNvPicPr/>
                  </pic:nvPicPr>
                  <pic:blipFill>
                    <a:blip r:embed="rId18"/>
                    <a:stretch>
                      <a:fillRect/>
                    </a:stretch>
                  </pic:blipFill>
                  <pic:spPr>
                    <a:xfrm>
                      <a:off x="0" y="0"/>
                      <a:ext cx="5303520" cy="5579846"/>
                    </a:xfrm>
                    <a:prstGeom prst="rect"/>
                  </pic:spPr>
                </pic:pic>
              </a:graphicData>
            </a:graphic>
          </wp:inline>
        </w:drawing>
      </w:r>
    </w:p>
    <w:p>
      <w:pPr>
        <w:jc w:val="center"/>
      </w:pPr>
      <w:r>
        <w:t>Figure 11: Gender Distribution</w:t>
      </w:r>
    </w:p>
    <w:p>
      <w:pPr>
        <w:jc w:val="center"/>
      </w:pPr>
      <w:r>
        <w:drawing>
          <wp:inline xmlns:a="http://schemas.openxmlformats.org/drawingml/2006/main" xmlns:pic="http://schemas.openxmlformats.org/drawingml/2006/picture">
            <wp:extent cx="5303520" cy="5303520"/>
            <wp:docPr id="11" name="Picture 11"/>
            <wp:cNvGraphicFramePr>
              <a:graphicFrameLocks noChangeAspect="1"/>
            </wp:cNvGraphicFramePr>
            <a:graphic>
              <a:graphicData uri="http://schemas.openxmlformats.org/drawingml/2006/picture">
                <pic:pic>
                  <pic:nvPicPr>
                    <pic:cNvPr id="0" name="11_gender_pie.png"/>
                    <pic:cNvPicPr/>
                  </pic:nvPicPr>
                  <pic:blipFill>
                    <a:blip r:embed="rId19"/>
                    <a:stretch>
                      <a:fillRect/>
                    </a:stretch>
                  </pic:blipFill>
                  <pic:spPr>
                    <a:xfrm>
                      <a:off x="0" y="0"/>
                      <a:ext cx="5303520" cy="5303520"/>
                    </a:xfrm>
                    <a:prstGeom prst="rect"/>
                  </pic:spPr>
                </pic:pic>
              </a:graphicData>
            </a:graphic>
          </wp:inline>
        </w:drawing>
      </w:r>
    </w:p>
    <w:p>
      <w:pPr>
        <w:pStyle w:val="Heading1"/>
      </w:pPr>
      <w:r>
        <w:t>6. Findings</w:t>
      </w:r>
    </w:p>
    <w:p>
      <w:pPr>
        <w:pStyle w:val="ListNumber"/>
      </w:pPr>
      <w:r>
        <w:t>Attendance has a positive association with average marks (correlation 0.38).</w:t>
      </w:r>
    </w:p>
    <w:p>
      <w:pPr>
        <w:pStyle w:val="ListNumber"/>
      </w:pPr>
      <w:r>
        <w:t>Study hours have a positive association with average marks (correlation 0.56).</w:t>
      </w:r>
    </w:p>
    <w:p>
      <w:pPr>
        <w:pStyle w:val="ListNumber"/>
      </w:pPr>
      <w:r>
        <w:t>English has the highest subject average.</w:t>
      </w:r>
    </w:p>
    <w:p>
      <w:pPr>
        <w:pStyle w:val="ListNumber"/>
      </w:pPr>
      <w:r>
        <w:t>DSA has the lowest subject average.</w:t>
      </w:r>
    </w:p>
    <w:p>
      <w:pPr>
        <w:pStyle w:val="ListNumber"/>
      </w:pPr>
      <w:r>
        <w:t>Gender groups show different average scores.</w:t>
      </w:r>
    </w:p>
    <w:p>
      <w:pPr>
        <w:pStyle w:val="ListNumber"/>
      </w:pPr>
      <w:r>
        <w:t>Student categories show differences in average scores.</w:t>
      </w:r>
    </w:p>
    <w:p>
      <w:pPr>
        <w:pStyle w:val="ListNumber"/>
      </w:pPr>
      <w:r>
        <w:t>The histogram shows the distribution of overall student performance.</w:t>
      </w:r>
    </w:p>
    <w:p>
      <w:pPr>
        <w:pStyle w:val="ListNumber"/>
      </w:pPr>
      <w:r>
        <w:t>The heatmap summarizes relationships among attendance, study time and marks.</w:t>
      </w:r>
    </w:p>
    <w:p>
      <w:pPr>
        <w:pStyle w:val="Heading1"/>
      </w:pPr>
      <w:r>
        <w:t>7. Conclusion</w:t>
      </w:r>
    </w:p>
    <w:p>
      <w:r>
        <w:t>The case study demonstrates a complete data-analysis workflow using Python. Pandas was used for cleaning, grouping, filtering and aggregation; NumPy supported numerical calculations; and Matplotlib and Seaborn were used for visualization. The synthetic data shows positive associations between attendance, study time and average marks. Since the dataset is synthetic, these findings should not be interpreted as real institutional statistics.</w:t>
      </w:r>
    </w:p>
    <w:p>
      <w:pPr>
        <w:pStyle w:val="Heading1"/>
      </w:pPr>
      <w:r>
        <w:t>Tools and Technologies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GitHub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