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KAIROLOGIC</w:t>
      </w:r>
    </w:p>
    <w:p>
      <w:pPr>
        <w:pBdr>
          <w:bottom w:val="single" w:color="2E75B6" w:sz="6"/>
        </w:pBdr>
        <w:spacing w:after="100"/>
        <w:jc w:val="center"/>
      </w:pPr>
      <w:r>
        <w:rPr>
          <w:rFonts w:ascii="Arial" w:cs="Arial" w:eastAsia="Arial" w:hAnsi="Arial"/>
          <w:color w:val="2E75B6"/>
          <w:sz w:val="36"/>
          <w:szCs w:val="36"/>
        </w:rPr>
        <w:t xml:space="preserve">Red Team Assessment Report</w:t>
      </w:r>
    </w:p>
    <w:p>
      <w:pPr>
        <w:spacing w:after="80"/>
      </w:pPr>
    </w:p>
    <w:p>
      <w:pPr>
        <w:spacing w:after="80"/>
      </w:pPr>
    </w:p>
    <w:p>
      <w:pPr>
        <w:spacing w:after="80"/>
        <w:jc w:val="center"/>
      </w:pPr>
      <w:r>
        <w:rPr>
          <w:rFonts w:ascii="Arial" w:cs="Arial" w:eastAsia="Arial" w:hAnsi="Arial"/>
          <w:b/>
          <w:bCs/>
          <w:sz w:val="28"/>
          <w:szCs w:val="28"/>
        </w:rPr>
        <w:t xml:space="preserve">NPI 1245420108 — Steven Daniel, D.O.</w:t>
      </w:r>
    </w:p>
    <w:p>
      <w:pPr>
        <w:spacing w:after="80"/>
        <w:jc w:val="center"/>
      </w:pPr>
      <w:r>
        <w:rPr>
          <w:rFonts w:ascii="Arial" w:cs="Arial" w:eastAsia="Arial" w:hAnsi="Arial"/>
          <w:color w:val="666666"/>
          <w:sz w:val="24"/>
          <w:szCs w:val="24"/>
        </w:rPr>
        <w:t xml:space="preserve">Family Medicine — Round Rock, TX</w:t>
      </w:r>
    </w:p>
    <w:p>
      <w:pPr>
        <w:spacing w:after="80"/>
      </w:pPr>
    </w:p>
    <w:p>
      <w:pPr>
        <w:spacing w:after="80"/>
      </w:pPr>
    </w:p>
    <w:p>
      <w:pPr>
        <w:spacing w:after="80"/>
        <w:jc w:val="center"/>
      </w:pPr>
      <w:r>
        <w:rPr>
          <w:rFonts w:ascii="Arial" w:cs="Arial" w:eastAsia="Arial" w:hAnsi="Arial"/>
          <w:b/>
          <w:bCs/>
          <w:sz w:val="22"/>
          <w:szCs w:val="22"/>
        </w:rPr>
        <w:t xml:space="preserve">Associated Practices:</w:t>
      </w:r>
    </w:p>
    <w:p>
      <w:pPr>
        <w:spacing w:after="60"/>
        <w:jc w:val="center"/>
      </w:pPr>
      <w:r>
        <w:rPr>
          <w:rFonts w:ascii="Arial" w:cs="Arial" w:eastAsia="Arial" w:hAnsi="Arial"/>
          <w:color w:val="444444"/>
          <w:sz w:val="22"/>
          <w:szCs w:val="22"/>
        </w:rPr>
        <w:t xml:space="preserve">Wyoming Springs Pediatrics  |  Brushy Creek Family Physicians</w:t>
      </w:r>
    </w:p>
    <w:p>
      <w:pPr>
        <w:spacing w:after="80"/>
      </w:pPr>
    </w:p>
    <w:p>
      <w:pPr>
        <w:spacing w:after="80"/>
      </w:pPr>
    </w:p>
    <w:p>
      <w:pPr>
        <w:spacing w:after="80"/>
      </w:pPr>
    </w:p>
    <w:p>
      <w:pPr>
        <w:spacing w:after="80"/>
      </w:pPr>
    </w:p>
    <w:p>
      <w:pPr>
        <w:jc w:val="center"/>
      </w:pPr>
      <w:r>
        <w:rPr>
          <w:rFonts w:ascii="Arial" w:cs="Arial" w:eastAsia="Arial" w:hAnsi="Arial"/>
          <w:color w:val="888888"/>
          <w:sz w:val="22"/>
          <w:szCs w:val="22"/>
        </w:rPr>
        <w:t xml:space="preserve">March 28, 2026</w:t>
      </w:r>
    </w:p>
    <w:p>
      <w:pPr>
        <w:spacing w:after="80"/>
        <w:jc w:val="center"/>
      </w:pPr>
      <w:r>
        <w:rPr>
          <w:rFonts w:ascii="Arial" w:cs="Arial" w:eastAsia="Arial" w:hAnsi="Arial"/>
          <w:color w:val="888888"/>
          <w:sz w:val="20"/>
          <w:szCs w:val="20"/>
        </w:rPr>
        <w:t xml:space="preserve">Assessment Type: New Signup Experience — Post-Fix Validation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report documents a red team assessment of the KairoLogic compliance dashboard for NPI 1245420108 (Steven Daniel, D.O., Family Medicine). The test simulates a new customer signup experience, evaluating what a practice administrator would see when onboarding this provider through the platform.</w:t>
      </w:r>
    </w:p>
    <w:p>
      <w:pPr>
        <w:spacing w:after="120"/>
      </w:pPr>
      <w:r>
        <w:rPr>
          <w:rFonts w:ascii="Arial" w:cs="Arial" w:eastAsia="Arial" w:hAnsi="Arial"/>
          <w:sz w:val="22"/>
          <w:szCs w:val="22"/>
        </w:rPr>
        <w:t xml:space="preserve">Steven Daniel is associated with two practices: Wyoming Springs Pediatrics (Ascension health system) and Brushy Creek Family Physicians. Both practices have 20 rostered providers. This assessment validates that the same class of pipeline-to-dashboard issues identified in the first red team (NPI 1013145036, Lakeline Eye Center) also affect this provider, confirming the systemic nature of the bugs and the need for a broad data backfill.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34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w:t>
            </w:r>
          </w:p>
        </w:tc>
        <w:tc>
          <w:tcPr>
            <w:tcW w:type="dxa" w:w="234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Actual</w:t>
            </w:r>
          </w:p>
        </w:tc>
        <w:tc>
          <w:tcPr>
            <w:tcW w:type="dxa" w:w="234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Delta</w:t>
            </w:r>
          </w:p>
        </w:tc>
      </w:tr>
      <w:tr>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Total Findings</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340"/>
            <w:tcBorders>
              <w:top w:val="single" w:color="B4C6E7" w:sz="1"/>
              <w:left w:val="single" w:color="B4C6E7" w:sz="1"/>
              <w:bottom w:val="single" w:color="B4C6E7" w:sz="1"/>
              <w:right w:val="single" w:color="B4C6E7" w:sz="1"/>
            </w:tcBorders>
            <w:shd w:fill="FFF0F0"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15</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C00000"/>
                <w:sz w:val="20"/>
                <w:szCs w:val="20"/>
              </w:rPr>
              <w:t xml:space="preserve">+15</w:t>
            </w:r>
          </w:p>
        </w:tc>
      </w:tr>
      <w:tr>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Critical</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340"/>
            <w:tcBorders>
              <w:top w:val="single" w:color="B4C6E7" w:sz="1"/>
              <w:left w:val="single" w:color="B4C6E7" w:sz="1"/>
              <w:bottom w:val="single" w:color="B4C6E7" w:sz="1"/>
              <w:right w:val="single" w:color="B4C6E7" w:sz="1"/>
            </w:tcBorders>
            <w:shd w:fill="FFF0F0" w:val="clear"/>
            <w:tcMar>
              <w:top w:type="dxa" w:w="60"/>
              <w:left w:type="dxa" w:w="100"/>
              <w:bottom w:type="dxa" w:w="60"/>
              <w:right w:type="dxa" w:w="100"/>
            </w:tcMar>
          </w:tcPr>
          <w:p>
            <w:pPr>
              <w:jc w:val="center"/>
            </w:pPr>
            <w:r>
              <w:rPr>
                <w:rFonts w:ascii="Arial" w:cs="Arial" w:eastAsia="Arial" w:hAnsi="Arial"/>
                <w:b/>
                <w:bCs/>
                <w:color w:val="C00000"/>
                <w:sz w:val="20"/>
                <w:szCs w:val="20"/>
              </w:rPr>
              <w:t xml:space="preserve">4</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C00000"/>
                <w:sz w:val="20"/>
                <w:szCs w:val="20"/>
              </w:rPr>
              <w:t xml:space="preserve">+4</w:t>
            </w:r>
          </w:p>
        </w:tc>
      </w:tr>
      <w:tr>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High</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340"/>
            <w:tcBorders>
              <w:top w:val="single" w:color="B4C6E7" w:sz="1"/>
              <w:left w:val="single" w:color="B4C6E7" w:sz="1"/>
              <w:bottom w:val="single" w:color="B4C6E7" w:sz="1"/>
              <w:right w:val="single" w:color="B4C6E7" w:sz="1"/>
            </w:tcBorders>
            <w:shd w:fill="FFF8F0" w:val="clear"/>
            <w:tcMar>
              <w:top w:type="dxa" w:w="60"/>
              <w:left w:type="dxa" w:w="100"/>
              <w:bottom w:type="dxa" w:w="60"/>
              <w:right w:type="dxa" w:w="100"/>
            </w:tcMar>
          </w:tcPr>
          <w:p>
            <w:pPr>
              <w:jc w:val="center"/>
            </w:pPr>
            <w:r>
              <w:rPr>
                <w:rFonts w:ascii="Arial" w:cs="Arial" w:eastAsia="Arial" w:hAnsi="Arial"/>
                <w:b/>
                <w:bCs/>
                <w:color w:val="E36C09"/>
                <w:sz w:val="20"/>
                <w:szCs w:val="20"/>
              </w:rPr>
              <w:t xml:space="preserve">5</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E36C09"/>
                <w:sz w:val="20"/>
                <w:szCs w:val="20"/>
              </w:rPr>
              <w:t xml:space="preserve">+5</w:t>
            </w:r>
          </w:p>
        </w:tc>
      </w:tr>
      <w:tr>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Medium</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340"/>
            <w:tcBorders>
              <w:top w:val="single" w:color="B4C6E7" w:sz="1"/>
              <w:left w:val="single" w:color="B4C6E7" w:sz="1"/>
              <w:bottom w:val="single" w:color="B4C6E7" w:sz="1"/>
              <w:right w:val="single" w:color="B4C6E7" w:sz="1"/>
            </w:tcBorders>
            <w:shd w:fill="FFFFF0" w:val="clear"/>
            <w:tcMar>
              <w:top w:type="dxa" w:w="60"/>
              <w:left w:type="dxa" w:w="100"/>
              <w:bottom w:type="dxa" w:w="60"/>
              <w:right w:type="dxa" w:w="100"/>
            </w:tcMar>
          </w:tcPr>
          <w:p>
            <w:pPr>
              <w:jc w:val="center"/>
            </w:pPr>
            <w:r>
              <w:rPr>
                <w:rFonts w:ascii="Arial" w:cs="Arial" w:eastAsia="Arial" w:hAnsi="Arial"/>
                <w:b/>
                <w:bCs/>
                <w:color w:val="BF8F00"/>
                <w:sz w:val="20"/>
                <w:szCs w:val="20"/>
              </w:rPr>
              <w:t xml:space="preserve">4</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BF8F00"/>
                <w:sz w:val="20"/>
                <w:szCs w:val="20"/>
              </w:rPr>
              <w:t xml:space="preserve">+4</w:t>
            </w:r>
          </w:p>
        </w:tc>
      </w:tr>
      <w:tr>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Low</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b/>
                <w:bCs/>
                <w:color w:val="548235"/>
                <w:sz w:val="20"/>
                <w:szCs w:val="20"/>
              </w:rPr>
              <w:t xml:space="preserve">2</w:t>
            </w:r>
          </w:p>
        </w:tc>
        <w:tc>
          <w:tcPr>
            <w:tcW w:type="dxa" w:w="234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548235"/>
                <w:sz w:val="20"/>
                <w:szCs w:val="20"/>
              </w:rPr>
              <w:t xml:space="preserve">+2</w:t>
            </w:r>
          </w:p>
        </w:tc>
      </w:tr>
    </w:tbl>
    <w:p>
      <w:pPr>
        <w:spacing w:after="80"/>
      </w:pPr>
    </w:p>
    <w:p>
      <w:pPr>
        <w:pStyle w:val="Heading1"/>
      </w:pPr>
      <w:r>
        <w:rPr>
          <w:rFonts w:ascii="Arial" w:cs="Arial" w:eastAsia="Arial" w:hAnsi="Arial"/>
        </w:rPr>
        <w:t xml:space="preserve">Provider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Provider Name</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Steven Daniel, D.O.</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NPI</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1245420108</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Specialty</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Family Medicine (207Q00000X)</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NPPES Address</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7200 Wyoming Spgs #600, Round Rock, TX 78681</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NPPES Phone</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512-244-1995</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Last NPPES Update</w:t>
            </w:r>
          </w:p>
        </w:tc>
        <w:tc>
          <w:tcPr>
            <w:tcW w:type="dxa" w:w="6560"/>
            <w:tcBorders>
              <w:top w:val="single" w:color="B4C6E7" w:sz="1"/>
              <w:left w:val="single" w:color="B4C6E7" w:sz="1"/>
              <w:bottom w:val="single" w:color="B4C6E7" w:sz="1"/>
              <w:right w:val="single" w:color="B4C6E7" w:sz="1"/>
            </w:tcBorders>
            <w:shd w:fill="FFF0F0" w:val="clear"/>
            <w:tcMar>
              <w:top w:type="dxa" w:w="60"/>
              <w:left w:type="dxa" w:w="100"/>
              <w:bottom w:type="dxa" w:w="60"/>
              <w:right w:type="dxa" w:w="100"/>
            </w:tcMar>
          </w:tcPr>
          <w:p>
            <w:r>
              <w:rPr>
                <w:rFonts w:ascii="Arial" w:cs="Arial" w:eastAsia="Arial" w:hAnsi="Arial"/>
                <w:b/>
                <w:bCs/>
                <w:color w:val="C00000"/>
                <w:sz w:val="20"/>
                <w:szCs w:val="20"/>
              </w:rPr>
              <w:t xml:space="preserve">2012-01-05 (14+ years ago — extremely stale)</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PECOS Status</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Approved, Individual, Family Practice</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Practice 1</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Wyoming Springs Pediatrics (20 providers, Ascension system)</w:t>
            </w:r>
          </w:p>
        </w:tc>
      </w:tr>
      <w:tr>
        <w:tc>
          <w:tcPr>
            <w:tcW w:type="dxa" w:w="2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Practice 2</w:t>
            </w:r>
          </w:p>
        </w:tc>
        <w:tc>
          <w:tcPr>
            <w:tcW w:type="dxa" w:w="6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Brushy Creek Family Physicians (20 providers, own website)</w:t>
            </w:r>
          </w:p>
        </w:tc>
      </w:tr>
    </w:tbl>
    <w:p>
      <w:pPr>
        <w:spacing w:after="80"/>
      </w:pPr>
    </w:p>
    <w:p>
      <w:r>
        <w:br w:type="page"/>
      </w:r>
    </w:p>
    <w:p>
      <w:pPr>
        <w:pStyle w:val="Heading1"/>
      </w:pPr>
      <w:r>
        <w:rPr>
          <w:rFonts w:ascii="Arial" w:cs="Arial" w:eastAsia="Arial" w:hAnsi="Arial"/>
        </w:rPr>
        <w:t xml:space="preserve">Simulated User Journey</w:t>
      </w:r>
    </w:p>
    <w:p>
      <w:pPr>
        <w:spacing w:after="120"/>
      </w:pPr>
      <w:r>
        <w:rPr>
          <w:rFonts w:ascii="Arial" w:cs="Arial" w:eastAsia="Arial" w:hAnsi="Arial"/>
          <w:sz w:val="22"/>
          <w:szCs w:val="22"/>
        </w:rPr>
        <w:t xml:space="preserve">The following traces the experience of a practice administrator who signs up for KairoLogic and enters NPI 1245420108 as their outreach candidate.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600"/>
        <w:gridCol w:w="1160"/>
      </w:tblGrid>
      <w:tr>
        <w:tc>
          <w:tcPr>
            <w:tcW w:type="dxa" w:w="6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18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22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w:t>
            </w:r>
          </w:p>
        </w:tc>
        <w:tc>
          <w:tcPr>
            <w:tcW w:type="dxa" w:w="26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Actual</w:t>
            </w:r>
          </w:p>
        </w:tc>
        <w:tc>
          <w:tcPr>
            <w:tcW w:type="dxa" w:w="116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b/>
                <w:bCs/>
                <w:sz w:val="20"/>
                <w:szCs w:val="20"/>
              </w:rPr>
              <w:t xml:space="preserve">1</w:t>
            </w:r>
          </w:p>
        </w:tc>
        <w:tc>
          <w:tcPr>
            <w:tcW w:type="dxa" w:w="1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Enter NPI, view provider card</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Name, specialty, address, credential displayed</w:t>
            </w:r>
          </w:p>
        </w:tc>
        <w:tc>
          <w:tcPr>
            <w:tcW w:type="dxa" w:w="26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Name: Steven Daniel. Specialty from NPPES taxonomy. NPPES address shown. PECOS status confirmed.</w:t>
            </w:r>
          </w:p>
        </w:tc>
        <w:tc>
          <w:tcPr>
            <w:tcW w:type="dxa" w:w="116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FUNCTIONAL</w:t>
            </w:r>
          </w:p>
        </w:tc>
      </w:tr>
      <w:tr>
        <w:tc>
          <w:tcPr>
            <w:tcW w:type="dxa" w:w="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2</w:t>
            </w:r>
          </w:p>
        </w:tc>
        <w:tc>
          <w:tcPr>
            <w:tcW w:type="dxa" w:w="18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View practice associations</w:t>
            </w:r>
          </w:p>
        </w:tc>
        <w:tc>
          <w:tcPr>
            <w:tcW w:type="dxa" w:w="22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2 practices listed with names and URLs</w:t>
            </w:r>
          </w:p>
        </w:tc>
        <w:tc>
          <w:tcPr>
            <w:tcW w:type="dxa" w:w="2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2 practices found. Wyoming Springs Pediatrics and Brushy Creek Family Physicians with URLs and provider counts.</w:t>
            </w:r>
          </w:p>
        </w:tc>
        <w:tc>
          <w:tcPr>
            <w:tcW w:type="dxa" w:w="116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FUNCTIONAL</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1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View compliance dashboard</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KPIs reflect actual mismatch state: needs_attention &gt; 0</w:t>
            </w:r>
          </w:p>
        </w:tc>
        <w:tc>
          <w:tcPr>
            <w:tcW w:type="dxa" w:w="26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v_dashboard_kpis: needs_attention=0, all_clear=20 for BOTH practices. Completely misleading.</w:t>
            </w:r>
          </w:p>
        </w:tc>
        <w:tc>
          <w:tcPr>
            <w:tcW w:type="dxa" w:w="11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MISLEADING</w:t>
            </w:r>
          </w:p>
        </w:tc>
      </w:tr>
      <w:tr>
        <w:tc>
          <w:tcPr>
            <w:tcW w:type="dxa" w:w="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18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View provider health score</w:t>
            </w:r>
          </w:p>
        </w:tc>
        <w:tc>
          <w:tcPr>
            <w:tcW w:type="dxa" w:w="22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Health score reflects data staleness and mismatches</w:t>
            </w:r>
          </w:p>
        </w:tc>
        <w:tc>
          <w:tcPr>
            <w:tcW w:type="dxa" w:w="2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v_provider_health: health_score=100, open_issues=0. No mismatches detected. Dashboard says everything is perfect.</w:t>
            </w:r>
          </w:p>
        </w:tc>
        <w:tc>
          <w:tcPr>
            <w:tcW w:type="dxa" w:w="11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MISLEADING</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1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View scan history</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Scan sessions show scores, risk levels, pass/fail counts</w:t>
            </w:r>
          </w:p>
        </w:tc>
        <w:tc>
          <w:tcPr>
            <w:tcW w:type="dxa" w:w="26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4 scan_sessions exist, ALL have NULL composite_score, NULL risk_level, NULL checks_total/passed/failed. Scans appear broken.</w:t>
            </w:r>
          </w:p>
        </w:tc>
        <w:tc>
          <w:tcPr>
            <w:tcW w:type="dxa" w:w="11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EMPTY</w:t>
            </w:r>
          </w:p>
        </w:tc>
      </w:tr>
      <w:tr>
        <w:tc>
          <w:tcPr>
            <w:tcW w:type="dxa" w:w="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6</w:t>
            </w:r>
          </w:p>
        </w:tc>
        <w:tc>
          <w:tcPr>
            <w:tcW w:type="dxa" w:w="18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View mismatch details</w:t>
            </w:r>
          </w:p>
        </w:tc>
        <w:tc>
          <w:tcPr>
            <w:tcW w:type="dxa" w:w="22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Address, phone mismatches shown with NPPES vs web comparison</w:t>
            </w:r>
          </w:p>
        </w:tc>
        <w:tc>
          <w:tcPr>
            <w:tcW w:type="dxa" w:w="2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web_address=NULL for Steven Daniel at both practices. Mismatch flags all false. No delta events. Zero mismatches reported.</w:t>
            </w:r>
          </w:p>
        </w:tc>
        <w:tc>
          <w:tcPr>
            <w:tcW w:type="dxa" w:w="11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EMPTY</w:t>
            </w:r>
          </w:p>
        </w:tc>
      </w:tr>
      <w:tr>
        <w:tc>
          <w:tcPr>
            <w:tcW w:type="dxa" w:w="60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b/>
                <w:bCs/>
                <w:sz w:val="20"/>
                <w:szCs w:val="20"/>
              </w:rPr>
              <w:t xml:space="preserve">7</w:t>
            </w:r>
          </w:p>
        </w:tc>
        <w:tc>
          <w:tcPr>
            <w:tcW w:type="dxa" w:w="18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View workflows and tasks</w:t>
            </w:r>
          </w:p>
        </w:tc>
        <w:tc>
          <w:tcPr>
            <w:tcW w:type="dxa" w:w="2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Active workflows for detected mismatches</w:t>
            </w:r>
          </w:p>
        </w:tc>
        <w:tc>
          <w:tcPr>
            <w:tcW w:type="dxa" w:w="26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Zero workflow_instances, zero workflow_tasks, zero alerts. Nothing actionable anywhere.</w:t>
            </w:r>
          </w:p>
        </w:tc>
        <w:tc>
          <w:tcPr>
            <w:tcW w:type="dxa" w:w="11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EMPTY</w:t>
            </w:r>
          </w:p>
        </w:tc>
      </w:tr>
      <w:tr>
        <w:tc>
          <w:tcPr>
            <w:tcW w:type="dxa" w:w="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b/>
                <w:bCs/>
                <w:sz w:val="20"/>
                <w:szCs w:val="20"/>
              </w:rPr>
              <w:t xml:space="preserve">8</w:t>
            </w:r>
          </w:p>
        </w:tc>
        <w:tc>
          <w:tcPr>
            <w:tcW w:type="dxa" w:w="18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View provider roster</w:t>
            </w:r>
          </w:p>
        </w:tc>
        <w:tc>
          <w:tcPr>
            <w:tcW w:type="dxa" w:w="22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20 providers with names and health data</w:t>
            </w:r>
          </w:p>
        </w:tc>
        <w:tc>
          <w:tcPr>
            <w:tcW w:type="dxa" w:w="260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18"/>
                <w:szCs w:val="18"/>
              </w:rPr>
              <w:t xml:space="preserve">2 of 20 providers have NULL names (NPIs 1457468373, 1811934649). Both practices share identical 20-provider roster. practice_websites.mismatch_count=2 but no individual has mismatches.</w:t>
            </w:r>
          </w:p>
        </w:tc>
        <w:tc>
          <w:tcPr>
            <w:tcW w:type="dxa" w:w="11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DEGRADED</w:t>
            </w:r>
          </w:p>
        </w:tc>
      </w:tr>
    </w:tbl>
    <w:p>
      <w:pPr>
        <w:spacing w:after="80"/>
      </w:pPr>
    </w:p>
    <w:p>
      <w:pPr>
        <w:spacing w:after="120"/>
      </w:pPr>
      <w:r>
        <w:rPr>
          <w:rFonts w:ascii="Arial" w:cs="Arial" w:eastAsia="Arial" w:hAnsi="Arial"/>
          <w:b/>
          <w:bCs/>
          <w:sz w:val="22"/>
          <w:szCs w:val="22"/>
        </w:rPr>
        <w:t xml:space="preserve">Result: 2 of 8 steps functional, 2 misleading, 3 empty, 1 degraded. The dashboard presents a false-positive "all clear" picture that would erode trust from a new signup.</w:t>
      </w:r>
    </w:p>
    <w:p>
      <w:r>
        <w:br w:type="page"/>
      </w:r>
    </w:p>
    <w:p>
      <w:pPr>
        <w:pStyle w:val="Heading1"/>
      </w:pPr>
      <w:r>
        <w:rPr>
          <w:rFonts w:ascii="Arial" w:cs="Arial" w:eastAsia="Arial" w:hAnsi="Arial"/>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400"/>
        <w:gridCol w:w="2660"/>
      </w:tblGrid>
      <w:tr>
        <w:tc>
          <w:tcPr>
            <w:tcW w:type="dxa" w:w="9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32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Finding</w:t>
            </w:r>
          </w:p>
        </w:tc>
        <w:tc>
          <w:tcPr>
            <w:tcW w:type="dxa" w:w="12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Severity</w:t>
            </w:r>
          </w:p>
        </w:tc>
        <w:tc>
          <w:tcPr>
            <w:tcW w:type="dxa" w:w="140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266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Summary</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RT-001</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Scan scores all NULL</w:t>
            </w:r>
          </w:p>
        </w:tc>
        <w:tc>
          <w:tcPr>
            <w:tcW w:type="dxa" w:w="120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CRITICAL</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All 4 scan_sessions have NULL composite_score, risk_level, checks_total</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RT-002</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Pipeline-to-dashboard disconnect</w:t>
            </w:r>
          </w:p>
        </w:tc>
        <w:tc>
          <w:tcPr>
            <w:tcW w:type="dxa" w:w="120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CRITICAL</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Mismatches never propagated to provider-level mismatch flags</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RT-003</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web_address NULL for all providers</w:t>
            </w:r>
          </w:p>
        </w:tc>
        <w:tc>
          <w:tcPr>
            <w:tcW w:type="dxa" w:w="120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CRITICAL</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saveExtractionToPracticeProviders early-return bug prevents web data write</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RT-004</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False-positive health scores</w:t>
            </w:r>
          </w:p>
        </w:tc>
        <w:tc>
          <w:tcPr>
            <w:tcW w:type="dxa" w:w="120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CRITICAL</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v_provider_health returns health_score=100 despite stale NPPES data</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RT-005</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Zero workflows generated</w:t>
            </w:r>
          </w:p>
        </w:tc>
        <w:tc>
          <w:tcPr>
            <w:tcW w:type="dxa" w:w="120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triggerWorkflowsForPractice never called after scans</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RT-006</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Zero alerts generated</w:t>
            </w:r>
          </w:p>
        </w:tc>
        <w:tc>
          <w:tcPr>
            <w:tcW w:type="dxa" w:w="120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No alerts created because no mismatches detected upstream</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RT-007</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No delta events</w:t>
            </w:r>
          </w:p>
        </w:tc>
        <w:tc>
          <w:tcPr>
            <w:tcW w:type="dxa" w:w="120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Delta engine had no web data to compare against NPPES</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RT-008</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Dashboard KPIs misleading</w:t>
            </w:r>
          </w:p>
        </w:tc>
        <w:tc>
          <w:tcPr>
            <w:tcW w:type="dxa" w:w="120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v_dashboard_kpis shows all_clear=20 for practices with known issues</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RT-009</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Stale NPPES data not flagged</w:t>
            </w:r>
          </w:p>
        </w:tc>
        <w:tc>
          <w:tcPr>
            <w:tcW w:type="dxa" w:w="120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HIGH</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Last update 2012. No staleness warning or risk signal generated</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RT-010</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Provider names NULL (2 of 20)</w:t>
            </w:r>
          </w:p>
        </w:tc>
        <w:tc>
          <w:tcPr>
            <w:tcW w:type="dxa" w:w="120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MEDIUM</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NPIs 1457468373 and 1811934649 have NULL provider_name at both practices</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RT-011</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Duplicate roster across practices</w:t>
            </w:r>
          </w:p>
        </w:tc>
        <w:tc>
          <w:tcPr>
            <w:tcW w:type="dxa" w:w="120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MEDIUM</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Both practices share identical 20-provider roster—likely data issue</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RT-012</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practice_websites.mismatch_count orphaned</w:t>
            </w:r>
          </w:p>
        </w:tc>
        <w:tc>
          <w:tcPr>
            <w:tcW w:type="dxa" w:w="120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MEDIUM</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mismatch_count=2 at practice level but 0 at individual provider level</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RT-013</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No license/board data</w:t>
            </w:r>
          </w:p>
        </w:tc>
        <w:tc>
          <w:tcPr>
            <w:tcW w:type="dxa" w:w="120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MEDIUM</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Zero state board records for any provider at either practice</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RT-014</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Existing data not backfilled</w:t>
            </w:r>
          </w:p>
        </w:tc>
        <w:tc>
          <w:tcPr>
            <w:tcW w:type="dxa" w:w="120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LOW</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Code fixes only apply to future scans; 57K+ practices need backfill</w:t>
            </w:r>
          </w:p>
        </w:tc>
      </w:tr>
      <w:tr>
        <w:tc>
          <w:tcPr>
            <w:tcW w:type="dxa" w:w="9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b/>
                <w:bCs/>
                <w:sz w:val="20"/>
                <w:szCs w:val="20"/>
              </w:rPr>
              <w:t xml:space="preserve">RT-015</w:t>
            </w:r>
          </w:p>
        </w:tc>
        <w:tc>
          <w:tcPr>
            <w:tcW w:type="dxa" w:w="32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organization_id NULL</w:t>
            </w:r>
          </w:p>
        </w:tc>
        <w:tc>
          <w:tcPr>
            <w:tcW w:type="dxa" w:w="120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LOW</w:t>
            </w:r>
          </w:p>
        </w:tc>
        <w:tc>
          <w:tcPr>
            <w:tcW w:type="dxa" w:w="140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w:t>
            </w:r>
          </w:p>
        </w:tc>
        <w:tc>
          <w:tcPr>
            <w:tcW w:type="dxa" w:w="26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18"/>
                <w:szCs w:val="18"/>
              </w:rPr>
              <w:t xml:space="preserve">Both practice_websites have NULL organization_id, may affect multi-site rollups</w:t>
            </w:r>
          </w:p>
        </w:tc>
      </w:tr>
    </w:tbl>
    <w:p>
      <w:r>
        <w:br w:type="page"/>
      </w:r>
    </w:p>
    <w:p>
      <w:pPr>
        <w:pStyle w:val="Heading1"/>
      </w:pPr>
      <w:r>
        <w:rPr>
          <w:rFonts w:ascii="Arial" w:cs="Arial" w:eastAsia="Arial" w:hAnsi="Arial"/>
        </w:rPr>
        <w:t xml:space="preserve">Detailed Findings</w:t>
      </w:r>
    </w:p>
    <w:p>
      <w:pPr>
        <w:pBdr>
          <w:bottom w:val="single" w:color="C00000" w:sz="4"/>
        </w:pBdr>
        <w:spacing w:after="100" w:before="300"/>
      </w:pPr>
      <w:r>
        <w:rPr>
          <w:rFonts w:ascii="Arial" w:cs="Arial" w:eastAsia="Arial" w:hAnsi="Arial"/>
          <w:b/>
          <w:bCs/>
          <w:color w:val="C00000"/>
          <w:sz w:val="24"/>
          <w:szCs w:val="24"/>
        </w:rPr>
        <w:t xml:space="preserve">RT-001  </w:t>
      </w:r>
      <w:r>
        <w:rPr>
          <w:rFonts w:ascii="Arial" w:cs="Arial" w:eastAsia="Arial" w:hAnsi="Arial"/>
          <w:b/>
          <w:bCs/>
          <w:sz w:val="24"/>
          <w:szCs w:val="24"/>
        </w:rPr>
        <w:t xml:space="preserve">Scan Scores All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Scan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All 4 scan_sessions for both practices have NULL values for composite_score, risk_level, checks_total, checks_passed, and checks_failed. The scan-scheduler.ts pipeline never computed scores after crawling.</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scan_sessions table: 4 rows, all with composite_score=NULL, risk_level=NULL. Query: SELECT composite_score, risk_level, checks_total FROM scan_sessions WHERE practice_website_id IN (...)</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Dashboard cannot display any scan health metrics. Users see blank or broken scan cards. Undermines confidence in the product.</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in scan-scheduler.ts: Now computes scores from practice_providers mismatch data after delta detection. Backfill needed for existing 57K+ practices.</w:t>
            </w:r>
          </w:p>
        </w:tc>
      </w:tr>
    </w:tbl>
    <w:p>
      <w:pPr>
        <w:spacing w:after="80"/>
      </w:pPr>
    </w:p>
    <w:p>
      <w:pPr>
        <w:pBdr>
          <w:bottom w:val="single" w:color="C00000" w:sz="4"/>
        </w:pBdr>
        <w:spacing w:after="100" w:before="300"/>
      </w:pPr>
      <w:r>
        <w:rPr>
          <w:rFonts w:ascii="Arial" w:cs="Arial" w:eastAsia="Arial" w:hAnsi="Arial"/>
          <w:b/>
          <w:bCs/>
          <w:color w:val="C00000"/>
          <w:sz w:val="24"/>
          <w:szCs w:val="24"/>
        </w:rPr>
        <w:t xml:space="preserve">RT-002  </w:t>
      </w:r>
      <w:r>
        <w:rPr>
          <w:rFonts w:ascii="Arial" w:cs="Arial" w:eastAsia="Arial" w:hAnsi="Arial"/>
          <w:b/>
          <w:bCs/>
          <w:sz w:val="24"/>
          <w:szCs w:val="24"/>
        </w:rPr>
        <w:t xml:space="preserve">Pipeline-to-Dashboard Disconnect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The scan-scheduler crawls websites and matches providers, but never ran compliance checks or generated workflows. The two scan systems (per-NPI engine and per-practice scheduler) operated independently with no bridge.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Steven Daniel has active_mismatch_count=0, has_address_mismatch=false at both practices despite NPPES address being from 2012 and practices having live websites with different addresses.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Core product value proposition broken. Mismatches exist but the system says everything is fine. A new signup would see zero actionable items and question why they are paying for the service.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scan-scheduler.ts now integrates triggerWorkflowsForPractice() after scan completion, and scan-plugin.ts no longer silently drops web data.</w:t>
            </w:r>
          </w:p>
        </w:tc>
      </w:tr>
    </w:tbl>
    <w:p>
      <w:pPr>
        <w:spacing w:after="80"/>
      </w:pPr>
    </w:p>
    <w:p>
      <w:pPr>
        <w:pBdr>
          <w:bottom w:val="single" w:color="C00000" w:sz="4"/>
        </w:pBdr>
        <w:spacing w:after="100" w:before="300"/>
      </w:pPr>
      <w:r>
        <w:rPr>
          <w:rFonts w:ascii="Arial" w:cs="Arial" w:eastAsia="Arial" w:hAnsi="Arial"/>
          <w:b/>
          <w:bCs/>
          <w:color w:val="C00000"/>
          <w:sz w:val="24"/>
          <w:szCs w:val="24"/>
        </w:rPr>
        <w:t xml:space="preserve">RT-003  </w:t>
      </w:r>
      <w:r>
        <w:rPr>
          <w:rFonts w:ascii="Arial" w:cs="Arial" w:eastAsia="Arial" w:hAnsi="Arial"/>
          <w:b/>
          <w:bCs/>
          <w:sz w:val="24"/>
          <w:szCs w:val="24"/>
        </w:rPr>
        <w:t xml:space="preserve">web_address NULL for All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saveExtractionToPracticeProviders in scan-plugin.ts had an early return when best_address was null, causing NPI-on-page matched providers to never receive web_address values. Without web data, the delta engine had nothing to compare.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practice_providers: web_address=NULL, web_phone=NULL for Steven Daniel at both practices. Same pattern for all 20 providers at each practice.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Entire mismatch detection pipeline is broken at the source. No web data means no comparisons, no mismatches, no workflows, no alerts.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Removed early return, added fallback to all_addresses[0], added practice-level address backfill in scan-scheduler.ts step 5b.</w:t>
            </w:r>
          </w:p>
        </w:tc>
      </w:tr>
    </w:tbl>
    <w:p>
      <w:pPr>
        <w:spacing w:after="80"/>
      </w:pPr>
    </w:p>
    <w:p>
      <w:pPr>
        <w:pBdr>
          <w:bottom w:val="single" w:color="C00000" w:sz="4"/>
        </w:pBdr>
        <w:spacing w:after="100" w:before="300"/>
      </w:pPr>
      <w:r>
        <w:rPr>
          <w:rFonts w:ascii="Arial" w:cs="Arial" w:eastAsia="Arial" w:hAnsi="Arial"/>
          <w:b/>
          <w:bCs/>
          <w:color w:val="C00000"/>
          <w:sz w:val="24"/>
          <w:szCs w:val="24"/>
        </w:rPr>
        <w:t xml:space="preserve">RT-004  </w:t>
      </w:r>
      <w:r>
        <w:rPr>
          <w:rFonts w:ascii="Arial" w:cs="Arial" w:eastAsia="Arial" w:hAnsi="Arial"/>
          <w:b/>
          <w:bCs/>
          <w:sz w:val="24"/>
          <w:szCs w:val="24"/>
        </w:rPr>
        <w:t xml:space="preserve">False-Positive Health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C00000" w:val="clear"/>
            <w:tcMar>
              <w:top w:type="dxa" w:w="60"/>
              <w:left w:type="dxa" w:w="100"/>
              <w:bottom w:type="dxa" w:w="60"/>
              <w:right w:type="dxa" w:w="100"/>
            </w:tcMar>
          </w:tcPr>
          <w:p>
            <w:r>
              <w:rPr>
                <w:rFonts w:ascii="Arial" w:cs="Arial" w:eastAsia="Arial" w:hAnsi="Arial"/>
                <w:b/>
                <w:bCs/>
                <w:color w:val="FFFFFF"/>
                <w:sz w:val="20"/>
                <w:szCs w:val="20"/>
              </w:rPr>
              <w:t xml:space="preserve">CRITICAL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Dashboard Views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v_provider_health returns health_score=100 and open_issues=0 for Steven Daniel at both practices. The dashboard tells the user this provider has zero compliance issues when multiple problems exist.</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v_provider_health query returns: health_score=100, open_issues=0, has_address_mismatch=false, has_phone_mismatch=false. v_dashboard_kpis shows needs_attention=0, all_clear=20.</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The most dangerous type of bug: actively lying to the user. A false all-clear is worse than a blank dashboard because it builds misplaced confidence.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v_provider_health rebuilt with penalty-based scoring (100 - mismatch*15 - license*25 - action_needed*10). Applied via execute_sql; needs migration file for production.</w:t>
            </w:r>
          </w:p>
        </w:tc>
      </w:tr>
    </w:tbl>
    <w:p>
      <w:pPr>
        <w:spacing w:after="80"/>
      </w:pPr>
    </w:p>
    <w:p>
      <w:pPr>
        <w:pBdr>
          <w:bottom w:val="single" w:color="E36C09" w:sz="4"/>
        </w:pBdr>
        <w:spacing w:after="100" w:before="300"/>
      </w:pPr>
      <w:r>
        <w:rPr>
          <w:rFonts w:ascii="Arial" w:cs="Arial" w:eastAsia="Arial" w:hAnsi="Arial"/>
          <w:b/>
          <w:bCs/>
          <w:color w:val="E36C09"/>
          <w:sz w:val="24"/>
          <w:szCs w:val="24"/>
        </w:rPr>
        <w:t xml:space="preserve">RT-005  </w:t>
      </w:r>
      <w:r>
        <w:rPr>
          <w:rFonts w:ascii="Arial" w:cs="Arial" w:eastAsia="Arial" w:hAnsi="Arial"/>
          <w:b/>
          <w:bCs/>
          <w:sz w:val="24"/>
          <w:szCs w:val="24"/>
        </w:rPr>
        <w:t xml:space="preserve">Zero Workflows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r>
              <w:rPr>
                <w:rFonts w:ascii="Arial" w:cs="Arial" w:eastAsia="Arial" w:hAnsi="Arial"/>
                <w:b/>
                <w:bCs/>
                <w:color w:val="FFFFFF"/>
                <w:sz w:val="20"/>
                <w:szCs w:val="20"/>
              </w:rPr>
              <w:t xml:space="preserve">HIGH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Workflow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No workflow_instances exist for any provider at either practice. The workflow trigger logic existed only in scripts/trigger-workflows.ts (CLI-only) and was never called from the scan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workflow_instances: 0 rows matching provider_npi=1245420108 or practice_id in (Wyoming Springs, Brushy Creek).</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Users see no actionable tasks. The entire workflow-driven remediation UX is empty. Dashboard action cards show nothing to do.</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Extracted to lib/scanner/trigger-workflows.ts and integrated into scan-scheduler.ts post-scan flow.</w:t>
            </w:r>
          </w:p>
        </w:tc>
      </w:tr>
    </w:tbl>
    <w:p>
      <w:pPr>
        <w:spacing w:after="80"/>
      </w:pPr>
    </w:p>
    <w:p>
      <w:pPr>
        <w:pBdr>
          <w:bottom w:val="single" w:color="E36C09" w:sz="4"/>
        </w:pBdr>
        <w:spacing w:after="100" w:before="300"/>
      </w:pPr>
      <w:r>
        <w:rPr>
          <w:rFonts w:ascii="Arial" w:cs="Arial" w:eastAsia="Arial" w:hAnsi="Arial"/>
          <w:b/>
          <w:bCs/>
          <w:color w:val="E36C09"/>
          <w:sz w:val="24"/>
          <w:szCs w:val="24"/>
        </w:rPr>
        <w:t xml:space="preserve">RT-006  </w:t>
      </w:r>
      <w:r>
        <w:rPr>
          <w:rFonts w:ascii="Arial" w:cs="Arial" w:eastAsia="Arial" w:hAnsi="Arial"/>
          <w:b/>
          <w:bCs/>
          <w:sz w:val="24"/>
          <w:szCs w:val="24"/>
        </w:rPr>
        <w:t xml:space="preserve">Zero Alerts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r>
              <w:rPr>
                <w:rFonts w:ascii="Arial" w:cs="Arial" w:eastAsia="Arial" w:hAnsi="Arial"/>
                <w:b/>
                <w:bCs/>
                <w:color w:val="FFFFFF"/>
                <w:sz w:val="20"/>
                <w:szCs w:val="20"/>
              </w:rPr>
              <w:t xml:space="preserve">HIGH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Alert Pipeline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No alerts exist for any provider at either practice. Alerts are downstream of workflow creation, which itself depends on mismatch detection.</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alerts: 0 rows matching provider_npi=1245420108. Also 0 rows matching practice_id for either practice.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Alert bell/badge in the UI shows nothing. No notifications, no email triggers, no indication that attention is needed.</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Alert creation is part of triggerWorkflowsForPractice(), now integrated into scan pipeline.</w:t>
            </w:r>
          </w:p>
        </w:tc>
      </w:tr>
    </w:tbl>
    <w:p>
      <w:pPr>
        <w:spacing w:after="80"/>
      </w:pPr>
    </w:p>
    <w:p>
      <w:pPr>
        <w:pBdr>
          <w:bottom w:val="single" w:color="E36C09" w:sz="4"/>
        </w:pBdr>
        <w:spacing w:after="100" w:before="300"/>
      </w:pPr>
      <w:r>
        <w:rPr>
          <w:rFonts w:ascii="Arial" w:cs="Arial" w:eastAsia="Arial" w:hAnsi="Arial"/>
          <w:b/>
          <w:bCs/>
          <w:color w:val="E36C09"/>
          <w:sz w:val="24"/>
          <w:szCs w:val="24"/>
        </w:rPr>
        <w:t xml:space="preserve">RT-007  </w:t>
      </w:r>
      <w:r>
        <w:rPr>
          <w:rFonts w:ascii="Arial" w:cs="Arial" w:eastAsia="Arial" w:hAnsi="Arial"/>
          <w:b/>
          <w:bCs/>
          <w:sz w:val="24"/>
          <w:szCs w:val="24"/>
        </w:rPr>
        <w:t xml:space="preserve">No Delta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r>
              <w:rPr>
                <w:rFonts w:ascii="Arial" w:cs="Arial" w:eastAsia="Arial" w:hAnsi="Arial"/>
                <w:b/>
                <w:bCs/>
                <w:color w:val="FFFFFF"/>
                <w:sz w:val="20"/>
                <w:szCs w:val="20"/>
              </w:rPr>
              <w:t xml:space="preserve">HIGH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Delta Engine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Zero nppes_delta_events exist for Steven Daniel or any provider at these practices. The delta engine requires web_address to be populated in practice_providers before it can compare against NPPES, but web_address was never written.</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nppes_delta_events: 0 rows for NPI 1245420108. Delta engine skips comparison when web_address is NULL.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No mismatch history, no audit trail, no evidence of change detection running. Compliance documentation gap.</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Upstream fix (web_address now populated) means delta engine will produce events on next scan.</w:t>
            </w:r>
          </w:p>
        </w:tc>
      </w:tr>
    </w:tbl>
    <w:p>
      <w:pPr>
        <w:spacing w:after="80"/>
      </w:pPr>
    </w:p>
    <w:p>
      <w:pPr>
        <w:pBdr>
          <w:bottom w:val="single" w:color="E36C09" w:sz="4"/>
        </w:pBdr>
        <w:spacing w:after="100" w:before="300"/>
      </w:pPr>
      <w:r>
        <w:rPr>
          <w:rFonts w:ascii="Arial" w:cs="Arial" w:eastAsia="Arial" w:hAnsi="Arial"/>
          <w:b/>
          <w:bCs/>
          <w:color w:val="E36C09"/>
          <w:sz w:val="24"/>
          <w:szCs w:val="24"/>
        </w:rPr>
        <w:t xml:space="preserve">RT-008  </w:t>
      </w:r>
      <w:r>
        <w:rPr>
          <w:rFonts w:ascii="Arial" w:cs="Arial" w:eastAsia="Arial" w:hAnsi="Arial"/>
          <w:b/>
          <w:bCs/>
          <w:sz w:val="24"/>
          <w:szCs w:val="24"/>
        </w:rPr>
        <w:t xml:space="preserve">Dashboard KPIs Misleading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r>
              <w:rPr>
                <w:rFonts w:ascii="Arial" w:cs="Arial" w:eastAsia="Arial" w:hAnsi="Arial"/>
                <w:b/>
                <w:bCs/>
                <w:color w:val="FFFFFF"/>
                <w:sz w:val="20"/>
                <w:szCs w:val="20"/>
              </w:rPr>
              <w:t xml:space="preserve">HIGH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Dashboard Views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v_dashboard_kpis shows needs_attention=0, in_progress=0, monitoring=0, all_clear=20 for both practices. This is mathematically correct based on the broken underlying data, but presents a completely false picture.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SELECT * FROM v_dashboard_kpis WHERE practice_website_id IN (...): total_providers=20, needs_attention=0, all_clear=20.</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The KPI dashboard is the first thing a user sees. When it says "all clear" for a practice that clearly has issues, the product loses credibility immediately.</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CODE FIXED: v_dashboard_kpis rebuilt on fixed v_provider_health which now includes mismatch counts in open_issues.</w:t>
            </w:r>
          </w:p>
        </w:tc>
      </w:tr>
    </w:tbl>
    <w:p>
      <w:pPr>
        <w:spacing w:after="80"/>
      </w:pPr>
    </w:p>
    <w:p>
      <w:pPr>
        <w:pBdr>
          <w:bottom w:val="single" w:color="E36C09" w:sz="4"/>
        </w:pBdr>
        <w:spacing w:after="100" w:before="300"/>
      </w:pPr>
      <w:r>
        <w:rPr>
          <w:rFonts w:ascii="Arial" w:cs="Arial" w:eastAsia="Arial" w:hAnsi="Arial"/>
          <w:b/>
          <w:bCs/>
          <w:color w:val="E36C09"/>
          <w:sz w:val="24"/>
          <w:szCs w:val="24"/>
        </w:rPr>
        <w:t xml:space="preserve">RT-009  </w:t>
      </w:r>
      <w:r>
        <w:rPr>
          <w:rFonts w:ascii="Arial" w:cs="Arial" w:eastAsia="Arial" w:hAnsi="Arial"/>
          <w:b/>
          <w:bCs/>
          <w:sz w:val="24"/>
          <w:szCs w:val="24"/>
        </w:rPr>
        <w:t xml:space="preserve">Stale NPPES Data Not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E36C09" w:val="clear"/>
            <w:tcMar>
              <w:top w:type="dxa" w:w="60"/>
              <w:left w:type="dxa" w:w="100"/>
              <w:bottom w:type="dxa" w:w="60"/>
              <w:right w:type="dxa" w:w="100"/>
            </w:tcMar>
          </w:tcPr>
          <w:p>
            <w:r>
              <w:rPr>
                <w:rFonts w:ascii="Arial" w:cs="Arial" w:eastAsia="Arial" w:hAnsi="Arial"/>
                <w:b/>
                <w:bCs/>
                <w:color w:val="FFFFFF"/>
                <w:sz w:val="20"/>
                <w:szCs w:val="20"/>
              </w:rPr>
              <w:t xml:space="preserve">HIGH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Feature Gap</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Steven Daniel last updated his NPPES record on 2012-01-05, over 14 years ago. The system does not generate any warning, risk signal, or staleness indicator for this.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providers.nppes_update_date=2012-01-05. No staleness-related entries in delta events, alerts, or scan results.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NPPES staleness is a strong signal of compliance risk. A 14-year gap almost certainly means the record is outdated. This is a missed opportunity for a high-value signal.</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Requires new feature. Suggest adding a staleness check (e.g., &gt; 2 years since NPPES update) to scan pipeline that generates a warning-level signal.</w:t>
            </w:r>
          </w:p>
        </w:tc>
      </w:tr>
    </w:tbl>
    <w:p>
      <w:pPr>
        <w:spacing w:after="80"/>
      </w:pPr>
    </w:p>
    <w:p>
      <w:pPr>
        <w:pBdr>
          <w:bottom w:val="single" w:color="BF8F00" w:sz="4"/>
        </w:pBdr>
        <w:spacing w:after="100" w:before="300"/>
      </w:pPr>
      <w:r>
        <w:rPr>
          <w:rFonts w:ascii="Arial" w:cs="Arial" w:eastAsia="Arial" w:hAnsi="Arial"/>
          <w:b/>
          <w:bCs/>
          <w:color w:val="BF8F00"/>
          <w:sz w:val="24"/>
          <w:szCs w:val="24"/>
        </w:rPr>
        <w:t xml:space="preserve">RT-010  </w:t>
      </w:r>
      <w:r>
        <w:rPr>
          <w:rFonts w:ascii="Arial" w:cs="Arial" w:eastAsia="Arial" w:hAnsi="Arial"/>
          <w:b/>
          <w:bCs/>
          <w:sz w:val="24"/>
          <w:szCs w:val="24"/>
        </w:rPr>
        <w:t xml:space="preserve">Provider Names NULL (2 of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r>
              <w:rPr>
                <w:rFonts w:ascii="Arial" w:cs="Arial" w:eastAsia="Arial" w:hAnsi="Arial"/>
                <w:b/>
                <w:bCs/>
                <w:color w:val="FFFFFF"/>
                <w:sz w:val="20"/>
                <w:szCs w:val="20"/>
              </w:rPr>
              <w:t xml:space="preserve">MEDIUM</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Quality</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NPIs 1457468373 and 1811934649 have NULL provider_name at both practices. These are likely organization-type NPIs where the name fallback logic fails.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practice_providers: provider_name=NULL for these NPIs. Providers table shows entity_type_code=2 (organization) for at least one.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Dashboard roster shows blank names, which looks broken and unprofessional. Users cannot identify these providers.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Name backfill was only applied to Lakeline Eye Center. Needs broad backfill across all 201K+ practice_providers with NULL names.</w:t>
            </w:r>
          </w:p>
        </w:tc>
      </w:tr>
    </w:tbl>
    <w:p>
      <w:pPr>
        <w:spacing w:after="80"/>
      </w:pPr>
    </w:p>
    <w:p>
      <w:pPr>
        <w:pBdr>
          <w:bottom w:val="single" w:color="BF8F00" w:sz="4"/>
        </w:pBdr>
        <w:spacing w:after="100" w:before="300"/>
      </w:pPr>
      <w:r>
        <w:rPr>
          <w:rFonts w:ascii="Arial" w:cs="Arial" w:eastAsia="Arial" w:hAnsi="Arial"/>
          <w:b/>
          <w:bCs/>
          <w:color w:val="BF8F00"/>
          <w:sz w:val="24"/>
          <w:szCs w:val="24"/>
        </w:rPr>
        <w:t xml:space="preserve">RT-011  </w:t>
      </w:r>
      <w:r>
        <w:rPr>
          <w:rFonts w:ascii="Arial" w:cs="Arial" w:eastAsia="Arial" w:hAnsi="Arial"/>
          <w:b/>
          <w:bCs/>
          <w:sz w:val="24"/>
          <w:szCs w:val="24"/>
        </w:rPr>
        <w:t xml:space="preserve">Duplicate Roster Across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r>
              <w:rPr>
                <w:rFonts w:ascii="Arial" w:cs="Arial" w:eastAsia="Arial" w:hAnsi="Arial"/>
                <w:b/>
                <w:bCs/>
                <w:color w:val="FFFFFF"/>
                <w:sz w:val="20"/>
                <w:szCs w:val="20"/>
              </w:rPr>
              <w:t xml:space="preserve">MEDIUM</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Integrity</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Wyoming Springs Pediatrics and Brushy Creek Family Physicians both have the exact same 20-provider roster with identical data. These are different practices with different URLs but share the same provider set.</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practice_providers: 20 rows for each practice_website_id, with the same 20 NPIs appearing in both.</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May indicate a provider matching issue where both websites contain the same NPI numbers, or a data import artifact. Could cause double-counting in aggregate reports.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Needs investigation into whether this is legitimate (providers genuinely at both locations) or a matching/import bug.</w:t>
            </w:r>
          </w:p>
        </w:tc>
      </w:tr>
    </w:tbl>
    <w:p>
      <w:pPr>
        <w:spacing w:after="80"/>
      </w:pPr>
    </w:p>
    <w:p>
      <w:pPr>
        <w:pBdr>
          <w:bottom w:val="single" w:color="BF8F00" w:sz="4"/>
        </w:pBdr>
        <w:spacing w:after="100" w:before="300"/>
      </w:pPr>
      <w:r>
        <w:rPr>
          <w:rFonts w:ascii="Arial" w:cs="Arial" w:eastAsia="Arial" w:hAnsi="Arial"/>
          <w:b/>
          <w:bCs/>
          <w:color w:val="BF8F00"/>
          <w:sz w:val="24"/>
          <w:szCs w:val="24"/>
        </w:rPr>
        <w:t xml:space="preserve">RT-012  </w:t>
      </w:r>
      <w:r>
        <w:rPr>
          <w:rFonts w:ascii="Arial" w:cs="Arial" w:eastAsia="Arial" w:hAnsi="Arial"/>
          <w:b/>
          <w:bCs/>
          <w:sz w:val="24"/>
          <w:szCs w:val="24"/>
        </w:rPr>
        <w:t xml:space="preserve">Orphaned practice_websites.mismatch_count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r>
              <w:rPr>
                <w:rFonts w:ascii="Arial" w:cs="Arial" w:eastAsia="Arial" w:hAnsi="Arial"/>
                <w:b/>
                <w:bCs/>
                <w:color w:val="FFFFFF"/>
                <w:sz w:val="20"/>
                <w:szCs w:val="20"/>
              </w:rPr>
              <w:t xml:space="preserve">MEDIUM</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Consistency</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practice_websites.mismatch_count=2 for both practices, but zero individual providers have active mismatches. The practice-level count is orphaned from the provider-level data.</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practice_websites: mismatch_count=2. practice_providers: active_mismatch_count=0 for all 20 providers at each practice.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Creates confusion about where mismatches exist. A user might expect to drill in and find 2 providers with issues, but finds none.</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The count was likely set by a previous scan iteration that detected 2 mismatches but the provider-level data was never updated (due to the web_address bug). Will self-correct on next scan.</w:t>
            </w:r>
          </w:p>
        </w:tc>
      </w:tr>
    </w:tbl>
    <w:p>
      <w:pPr>
        <w:spacing w:after="80"/>
      </w:pPr>
    </w:p>
    <w:p>
      <w:pPr>
        <w:pBdr>
          <w:bottom w:val="single" w:color="BF8F00" w:sz="4"/>
        </w:pBdr>
        <w:spacing w:after="100" w:before="300"/>
      </w:pPr>
      <w:r>
        <w:rPr>
          <w:rFonts w:ascii="Arial" w:cs="Arial" w:eastAsia="Arial" w:hAnsi="Arial"/>
          <w:b/>
          <w:bCs/>
          <w:color w:val="BF8F00"/>
          <w:sz w:val="24"/>
          <w:szCs w:val="24"/>
        </w:rPr>
        <w:t xml:space="preserve">RT-013  </w:t>
      </w:r>
      <w:r>
        <w:rPr>
          <w:rFonts w:ascii="Arial" w:cs="Arial" w:eastAsia="Arial" w:hAnsi="Arial"/>
          <w:b/>
          <w:bCs/>
          <w:sz w:val="24"/>
          <w:szCs w:val="24"/>
        </w:rPr>
        <w:t xml:space="preserve">No License/Board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BF8F00" w:val="clear"/>
            <w:tcMar>
              <w:top w:type="dxa" w:w="60"/>
              <w:left w:type="dxa" w:w="100"/>
              <w:bottom w:type="dxa" w:w="60"/>
              <w:right w:type="dxa" w:w="100"/>
            </w:tcMar>
          </w:tcPr>
          <w:p>
            <w:r>
              <w:rPr>
                <w:rFonts w:ascii="Arial" w:cs="Arial" w:eastAsia="Arial" w:hAnsi="Arial"/>
                <w:b/>
                <w:bCs/>
                <w:color w:val="FFFFFF"/>
                <w:sz w:val="20"/>
                <w:szCs w:val="20"/>
              </w:rPr>
              <w:t xml:space="preserve">MEDIUM</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Completeness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Zero state board records exist for any provider at either practice. The license check pipeline appears to have never run or has no data for Texas providers.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state_board_data: 0 rows for any NPI at these practices. has_license_issue=false by default (not by verification).</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License verification is a key compliance signal. Without it, the health score calculation is incomplete and potentially misleading.</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Requires investigation into state board data pipeline coverage for Texas.</w:t>
            </w:r>
          </w:p>
        </w:tc>
      </w:tr>
    </w:tbl>
    <w:p>
      <w:pPr>
        <w:spacing w:after="80"/>
      </w:pPr>
    </w:p>
    <w:p>
      <w:pPr>
        <w:pBdr>
          <w:bottom w:val="single" w:color="548235" w:sz="4"/>
        </w:pBdr>
        <w:spacing w:after="100" w:before="300"/>
      </w:pPr>
      <w:r>
        <w:rPr>
          <w:rFonts w:ascii="Arial" w:cs="Arial" w:eastAsia="Arial" w:hAnsi="Arial"/>
          <w:b/>
          <w:bCs/>
          <w:color w:val="548235"/>
          <w:sz w:val="24"/>
          <w:szCs w:val="24"/>
        </w:rPr>
        <w:t xml:space="preserve">RT-014  </w:t>
      </w:r>
      <w:r>
        <w:rPr>
          <w:rFonts w:ascii="Arial" w:cs="Arial" w:eastAsia="Arial" w:hAnsi="Arial"/>
          <w:b/>
          <w:bCs/>
          <w:sz w:val="24"/>
          <w:szCs w:val="24"/>
        </w:rPr>
        <w:t xml:space="preserve">Existing Data Not Backfilled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r>
              <w:rPr>
                <w:rFonts w:ascii="Arial" w:cs="Arial" w:eastAsia="Arial" w:hAnsi="Arial"/>
                <w:b/>
                <w:bCs/>
                <w:color w:val="FFFFFF"/>
                <w:sz w:val="20"/>
                <w:szCs w:val="20"/>
              </w:rPr>
              <w:t xml:space="preserve">LOW</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Operations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The code fixes (scan-scheduler, scan-plugin, trigger-workflows) will work for future scans, but the existing 57,502 practice_websites and 208,982 practice_providers still have the old broken data. Only Lakeline Eye Center was manually backfilled.</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practice_providers: 201,332 rows with NULL provider_name. scan_sessions: vast majority have NULL scores. web_address: NULL for most providers.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Every existing customer sees the broken experience until their practice is re-scanned. No ETA on when each practice will be re-scanned.</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Needs a batch backfill script that re-runs the fixed pipeline for all existing practices, or at minimum prioritizes practices with active customers.</w:t>
            </w:r>
          </w:p>
        </w:tc>
      </w:tr>
    </w:tbl>
    <w:p>
      <w:pPr>
        <w:spacing w:after="80"/>
      </w:pPr>
    </w:p>
    <w:p>
      <w:pPr>
        <w:pBdr>
          <w:bottom w:val="single" w:color="548235" w:sz="4"/>
        </w:pBdr>
        <w:spacing w:after="100" w:before="300"/>
      </w:pPr>
      <w:r>
        <w:rPr>
          <w:rFonts w:ascii="Arial" w:cs="Arial" w:eastAsia="Arial" w:hAnsi="Arial"/>
          <w:b/>
          <w:bCs/>
          <w:color w:val="548235"/>
          <w:sz w:val="24"/>
          <w:szCs w:val="24"/>
        </w:rPr>
        <w:t xml:space="preserve">RT-015  </w:t>
      </w:r>
      <w:r>
        <w:rPr>
          <w:rFonts w:ascii="Arial" w:cs="Arial" w:eastAsia="Arial" w:hAnsi="Arial"/>
          <w:b/>
          <w:bCs/>
          <w:sz w:val="24"/>
          <w:szCs w:val="24"/>
        </w:rPr>
        <w:t xml:space="preserve">organization_id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7560"/>
            <w:tcBorders>
              <w:top w:val="single" w:color="B4C6E7" w:sz="1"/>
              <w:left w:val="single" w:color="B4C6E7" w:sz="1"/>
              <w:bottom w:val="single" w:color="B4C6E7" w:sz="1"/>
              <w:right w:val="single" w:color="B4C6E7" w:sz="1"/>
            </w:tcBorders>
            <w:shd w:fill="548235" w:val="clear"/>
            <w:tcMar>
              <w:top w:type="dxa" w:w="60"/>
              <w:left w:type="dxa" w:w="100"/>
              <w:bottom w:type="dxa" w:w="60"/>
              <w:right w:type="dxa" w:w="100"/>
            </w:tcMar>
          </w:tcPr>
          <w:p>
            <w:r>
              <w:rPr>
                <w:rFonts w:ascii="Arial" w:cs="Arial" w:eastAsia="Arial" w:hAnsi="Arial"/>
                <w:b/>
                <w:bCs/>
                <w:color w:val="FFFFFF"/>
                <w:sz w:val="20"/>
                <w:szCs w:val="20"/>
              </w:rPr>
              <w:t xml:space="preserve">LOW</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Data Completeness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Both practice_websites have NULL organization_id. This may prevent multi-site rollup views and enterprise reporting.</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Evidence</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practice_websites: organization_id=NULL for both Wyoming Springs and Brushy Creek entries.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Minor for individual practice views, but blocks any multi-location reporting or enterprise dashboard features.</w:t>
            </w:r>
          </w:p>
        </w:tc>
      </w:tr>
      <w:tr>
        <w:tc>
          <w:tcPr>
            <w:tcW w:type="dxa" w:w="1800"/>
            <w:tcBorders>
              <w:top w:val="single" w:color="B4C6E7" w:sz="1"/>
              <w:left w:val="single" w:color="B4C6E7" w:sz="1"/>
              <w:bottom w:val="single" w:color="B4C6E7" w:sz="1"/>
              <w:right w:val="single" w:color="B4C6E7" w:sz="1"/>
            </w:tcBorders>
            <w:shd w:fill="F5F5F5" w:val="clear"/>
            <w:tcMar>
              <w:top w:type="dxa" w:w="60"/>
              <w:left w:type="dxa" w:w="100"/>
              <w:bottom w:type="dxa" w:w="60"/>
              <w:right w:type="dxa" w:w="100"/>
            </w:tcMar>
          </w:tcPr>
          <w:p>
            <w:r>
              <w:rPr>
                <w:rFonts w:ascii="Arial" w:cs="Arial" w:eastAsia="Arial" w:hAnsi="Arial"/>
                <w:b/>
                <w:bCs/>
                <w:sz w:val="20"/>
                <w:szCs w:val="20"/>
              </w:rPr>
              <w:t xml:space="preserve">Fix Status</w:t>
            </w:r>
          </w:p>
        </w:tc>
        <w:tc>
          <w:tcPr>
            <w:tcW w:type="dxa" w:w="756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OPEN: Requires organization mapping data or manual assignment.</w:t>
            </w:r>
          </w:p>
        </w:tc>
      </w:tr>
    </w:tbl>
    <w:p>
      <w:pPr>
        <w:spacing w:after="80"/>
      </w:pPr>
    </w:p>
    <w:p>
      <w:r>
        <w:br w:type="page"/>
      </w:r>
    </w:p>
    <w:p>
      <w:pPr>
        <w:pStyle w:val="Heading1"/>
      </w:pPr>
      <w:r>
        <w:rPr>
          <w:rFonts w:ascii="Arial" w:cs="Arial" w:eastAsia="Arial" w:hAnsi="Arial"/>
        </w:rPr>
        <w:t xml:space="preserve">Comparison with First Red Team (NPI 1013145036)</w:t>
      </w:r>
    </w:p>
    <w:p>
      <w:pPr>
        <w:spacing w:after="120"/>
      </w:pPr>
      <w:r>
        <w:rPr>
          <w:rFonts w:ascii="Arial" w:cs="Arial" w:eastAsia="Arial" w:hAnsi="Arial"/>
          <w:sz w:val="22"/>
          <w:szCs w:val="22"/>
        </w:rPr>
        <w:t xml:space="preserve">This second red team assessment confirms that the issues found with NPI 1013145036 (Peter Pak, O.D., Lakeline Eye Center) are systemic, not practice-specific. The findings are nearly identical: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Issue</w:t>
            </w:r>
          </w:p>
        </w:tc>
        <w:tc>
          <w:tcPr>
            <w:tcW w:type="dxa" w:w="312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NPI 1013145036</w:t>
            </w:r>
          </w:p>
        </w:tc>
        <w:tc>
          <w:tcPr>
            <w:tcW w:type="dxa" w:w="3120"/>
            <w:tcBorders>
              <w:top w:val="single" w:color="B4C6E7" w:sz="1"/>
              <w:left w:val="single" w:color="B4C6E7" w:sz="1"/>
              <w:bottom w:val="single" w:color="B4C6E7" w:sz="1"/>
              <w:right w:val="single" w:color="B4C6E7"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NPI 1245420108</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Scan scores NULL</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548235"/>
                <w:sz w:val="20"/>
                <w:szCs w:val="20"/>
              </w:rPr>
              <w:t xml:space="preserve">YES (fixed)</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C00000"/>
                <w:sz w:val="20"/>
                <w:szCs w:val="20"/>
              </w:rPr>
              <w:t xml:space="preserve">YES (needs backfill)</w:t>
            </w:r>
          </w:p>
        </w:tc>
      </w:tr>
      <w:tr>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web_address NULL</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548235"/>
                <w:sz w:val="20"/>
                <w:szCs w:val="20"/>
              </w:rPr>
              <w:t xml:space="preserve">YES (fixed)</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C00000"/>
                <w:sz w:val="20"/>
                <w:szCs w:val="20"/>
              </w:rPr>
              <w:t xml:space="preserve">YES (needs backfill)</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Zero mismatches</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548235"/>
                <w:sz w:val="20"/>
                <w:szCs w:val="20"/>
              </w:rPr>
              <w:t xml:space="preserve">YES (fixed)</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C00000"/>
                <w:sz w:val="20"/>
                <w:szCs w:val="20"/>
              </w:rPr>
              <w:t xml:space="preserve">YES (needs backfill)</w:t>
            </w:r>
          </w:p>
        </w:tc>
      </w:tr>
      <w:tr>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Zero workflows</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548235"/>
                <w:sz w:val="20"/>
                <w:szCs w:val="20"/>
              </w:rPr>
              <w:t xml:space="preserve">YES (fixed)</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C00000"/>
                <w:sz w:val="20"/>
                <w:szCs w:val="20"/>
              </w:rPr>
              <w:t xml:space="preserve">YES (needs backfill)</w:t>
            </w:r>
          </w:p>
        </w:tc>
      </w:tr>
      <w:tr>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r>
              <w:rPr>
                <w:rFonts w:ascii="Arial" w:cs="Arial" w:eastAsia="Arial" w:hAnsi="Arial"/>
                <w:sz w:val="20"/>
                <w:szCs w:val="20"/>
              </w:rPr>
              <w:t xml:space="preserve">False health_score=100</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548235"/>
                <w:sz w:val="20"/>
                <w:szCs w:val="20"/>
              </w:rPr>
              <w:t xml:space="preserve">YES (fixed)</w:t>
            </w:r>
          </w:p>
        </w:tc>
        <w:tc>
          <w:tcPr>
            <w:tcW w:type="dxa" w:w="3120"/>
            <w:tcBorders>
              <w:top w:val="single" w:color="B4C6E7" w:sz="1"/>
              <w:left w:val="single" w:color="B4C6E7" w:sz="1"/>
              <w:bottom w:val="single" w:color="B4C6E7" w:sz="1"/>
              <w:right w:val="single" w:color="B4C6E7" w:sz="1"/>
            </w:tcBorders>
            <w:tcMar>
              <w:top w:type="dxa" w:w="60"/>
              <w:left w:type="dxa" w:w="100"/>
              <w:bottom w:type="dxa" w:w="60"/>
              <w:right w:type="dxa" w:w="100"/>
            </w:tcMar>
          </w:tcPr>
          <w:p>
            <w:pPr>
              <w:jc w:val="center"/>
            </w:pPr>
            <w:r>
              <w:rPr>
                <w:rFonts w:ascii="Arial" w:cs="Arial" w:eastAsia="Arial" w:hAnsi="Arial"/>
                <w:color w:val="C00000"/>
                <w:sz w:val="20"/>
                <w:szCs w:val="20"/>
              </w:rPr>
              <w:t xml:space="preserve">YES (needs backfill)</w:t>
            </w:r>
          </w:p>
        </w:tc>
      </w:tr>
      <w:tr>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r>
              <w:rPr>
                <w:rFonts w:ascii="Arial" w:cs="Arial" w:eastAsia="Arial" w:hAnsi="Arial"/>
                <w:sz w:val="20"/>
                <w:szCs w:val="20"/>
              </w:rPr>
              <w:t xml:space="preserve">NULL provider names</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BF8F00"/>
                <w:sz w:val="20"/>
                <w:szCs w:val="20"/>
              </w:rPr>
              <w:t xml:space="preserve">YES (fixed for 1 practice)</w:t>
            </w:r>
          </w:p>
        </w:tc>
        <w:tc>
          <w:tcPr>
            <w:tcW w:type="dxa" w:w="3120"/>
            <w:tcBorders>
              <w:top w:val="single" w:color="B4C6E7" w:sz="1"/>
              <w:left w:val="single" w:color="B4C6E7" w:sz="1"/>
              <w:bottom w:val="single" w:color="B4C6E7" w:sz="1"/>
              <w:right w:val="single" w:color="B4C6E7" w:sz="1"/>
            </w:tcBorders>
            <w:shd w:fill="F2F7FB" w:val="clear"/>
            <w:tcMar>
              <w:top w:type="dxa" w:w="60"/>
              <w:left w:type="dxa" w:w="100"/>
              <w:bottom w:type="dxa" w:w="60"/>
              <w:right w:type="dxa" w:w="100"/>
            </w:tcMar>
          </w:tcPr>
          <w:p>
            <w:pPr>
              <w:jc w:val="center"/>
            </w:pPr>
            <w:r>
              <w:rPr>
                <w:rFonts w:ascii="Arial" w:cs="Arial" w:eastAsia="Arial" w:hAnsi="Arial"/>
                <w:color w:val="E36C09"/>
                <w:sz w:val="20"/>
                <w:szCs w:val="20"/>
              </w:rPr>
              <w:t xml:space="preserve">YES (2 of 20 null)</w:t>
            </w:r>
          </w:p>
        </w:tc>
      </w:tr>
    </w:tbl>
    <w:p>
      <w:pPr>
        <w:spacing w:after="80"/>
      </w:pPr>
    </w:p>
    <w:p>
      <w:pPr>
        <w:spacing w:after="120"/>
      </w:pPr>
      <w:r>
        <w:rPr>
          <w:rFonts w:ascii="Arial" w:cs="Arial" w:eastAsia="Arial" w:hAnsi="Arial"/>
          <w:b/>
          <w:bCs/>
          <w:sz w:val="22"/>
          <w:szCs w:val="22"/>
        </w:rPr>
        <w:t xml:space="preserve">Key takeaway: The code-level fixes deployed after the first red team are correct and will prevent these issues for future scans. However, none of the existing data has been repaired except the manually backfilled Lakeline Eye Center practice. A batch backfill is the highest-priority operational task.</w:t>
      </w:r>
    </w:p>
    <w:p>
      <w:r>
        <w:br w:type="page"/>
      </w:r>
    </w:p>
    <w:p>
      <w:pPr>
        <w:pStyle w:val="Heading1"/>
      </w:pPr>
      <w:r>
        <w:rPr>
          <w:rFonts w:ascii="Arial" w:cs="Arial" w:eastAsia="Arial" w:hAnsi="Arial"/>
        </w:rPr>
        <w:t xml:space="preserve">Recommendations</w:t>
      </w:r>
    </w:p>
    <w:p>
      <w:pPr>
        <w:pStyle w:val="Heading2"/>
      </w:pPr>
      <w:r>
        <w:rPr>
          <w:rFonts w:ascii="Arial" w:cs="Arial" w:eastAsia="Arial" w:hAnsi="Arial"/>
        </w:rPr>
        <w:t xml:space="preserve">Immediate Priority (Before Any New Signups)</w:t>
      </w:r>
    </w:p>
    <w:p>
      <w:pPr>
        <w:pStyle w:val="ListParagraph"/>
        <w:numPr>
          <w:ilvl w:val="0"/>
          <w:numId w:val="2"/>
        </w:numPr>
        <w:spacing w:after="80"/>
      </w:pPr>
      <w:r>
        <w:rPr>
          <w:rFonts w:ascii="Arial" w:cs="Arial" w:eastAsia="Arial" w:hAnsi="Arial"/>
          <w:sz w:val="22"/>
          <w:szCs w:val="22"/>
        </w:rPr>
        <w:t xml:space="preserve">Run batch backfill: Execute the fixed scan pipeline across all 57K+ practices to populate web_address, compute scores, flag mismatches, and generate workflows. Prioritize practices with active or pending customers.</w:t>
      </w:r>
    </w:p>
    <w:p>
      <w:pPr>
        <w:pStyle w:val="ListParagraph"/>
        <w:numPr>
          <w:ilvl w:val="0"/>
          <w:numId w:val="2"/>
        </w:numPr>
        <w:spacing w:after="80"/>
      </w:pPr>
      <w:r>
        <w:rPr>
          <w:rFonts w:ascii="Arial" w:cs="Arial" w:eastAsia="Arial" w:hAnsi="Arial"/>
          <w:sz w:val="22"/>
          <w:szCs w:val="22"/>
        </w:rPr>
        <w:t xml:space="preserve">Backfill provider names: Update the 201K+ practice_providers with NULL provider_name using the COALESCE/NULLIF/entity_type_code logic from the fixed v_provider_health view.</w:t>
      </w:r>
    </w:p>
    <w:p>
      <w:pPr>
        <w:pStyle w:val="ListParagraph"/>
        <w:numPr>
          <w:ilvl w:val="0"/>
          <w:numId w:val="2"/>
        </w:numPr>
        <w:spacing w:after="80"/>
      </w:pPr>
      <w:r>
        <w:rPr>
          <w:rFonts w:ascii="Arial" w:cs="Arial" w:eastAsia="Arial" w:hAnsi="Arial"/>
          <w:sz w:val="22"/>
          <w:szCs w:val="22"/>
        </w:rPr>
        <w:t xml:space="preserve">Create migration files: The v_provider_health and v_dashboard_kpis view changes were applied via execute_sql, not proper migrations. Create versioned migration files before the next deployment.</w:t>
      </w:r>
    </w:p>
    <w:p>
      <w:pPr>
        <w:pStyle w:val="Heading2"/>
      </w:pPr>
      <w:r>
        <w:rPr>
          <w:rFonts w:ascii="Arial" w:cs="Arial" w:eastAsia="Arial" w:hAnsi="Arial"/>
        </w:rPr>
        <w:t xml:space="preserve">Short-Term (Next Sprint)</w:t>
      </w:r>
    </w:p>
    <w:p>
      <w:pPr>
        <w:pStyle w:val="ListParagraph"/>
        <w:numPr>
          <w:ilvl w:val="0"/>
          <w:numId w:val="2"/>
        </w:numPr>
        <w:spacing w:after="80"/>
      </w:pPr>
      <w:r>
        <w:rPr>
          <w:rFonts w:ascii="Arial" w:cs="Arial" w:eastAsia="Arial" w:hAnsi="Arial"/>
          <w:sz w:val="22"/>
          <w:szCs w:val="22"/>
        </w:rPr>
        <w:t xml:space="preserve">Add NPPES staleness signal: Flag providers with NPPES updates older than 2 years. Steven Daniel (14 years stale) is a textbook example of why this matters.</w:t>
      </w:r>
    </w:p>
    <w:p>
      <w:pPr>
        <w:pStyle w:val="ListParagraph"/>
        <w:numPr>
          <w:ilvl w:val="0"/>
          <w:numId w:val="2"/>
        </w:numPr>
        <w:spacing w:after="80"/>
      </w:pPr>
      <w:r>
        <w:rPr>
          <w:rFonts w:ascii="Arial" w:cs="Arial" w:eastAsia="Arial" w:hAnsi="Arial"/>
          <w:sz w:val="22"/>
          <w:szCs w:val="22"/>
        </w:rPr>
        <w:t xml:space="preserve">Investigate duplicate rosters: Both of Steven Daniel's practices share identical 20-provider rosters. Determine if this is legitimate multi-location practice or a matching artifact.</w:t>
      </w:r>
    </w:p>
    <w:p>
      <w:pPr>
        <w:pStyle w:val="ListParagraph"/>
        <w:numPr>
          <w:ilvl w:val="0"/>
          <w:numId w:val="2"/>
        </w:numPr>
        <w:spacing w:after="80"/>
      </w:pPr>
      <w:r>
        <w:rPr>
          <w:rFonts w:ascii="Arial" w:cs="Arial" w:eastAsia="Arial" w:hAnsi="Arial"/>
          <w:sz w:val="22"/>
          <w:szCs w:val="22"/>
        </w:rPr>
        <w:t xml:space="preserve">Expand state board coverage: Zero license data for Texas providers. Investigate board data pipeline and add Texas coverage.</w:t>
      </w:r>
    </w:p>
    <w:p>
      <w:pPr>
        <w:pStyle w:val="Heading2"/>
      </w:pPr>
      <w:r>
        <w:rPr>
          <w:rFonts w:ascii="Arial" w:cs="Arial" w:eastAsia="Arial" w:hAnsi="Arial"/>
        </w:rPr>
        <w:t xml:space="preserve">Medium-Term</w:t>
      </w:r>
    </w:p>
    <w:p>
      <w:pPr>
        <w:pStyle w:val="ListParagraph"/>
        <w:numPr>
          <w:ilvl w:val="0"/>
          <w:numId w:val="2"/>
        </w:numPr>
        <w:spacing w:after="80"/>
      </w:pPr>
      <w:r>
        <w:rPr>
          <w:rFonts w:ascii="Arial" w:cs="Arial" w:eastAsia="Arial" w:hAnsi="Arial"/>
          <w:sz w:val="22"/>
          <w:szCs w:val="22"/>
        </w:rPr>
        <w:t xml:space="preserve">Automated red team testing: Create a CI/CD test that runs the simulated user journey against a set of known NPIs and validates that dashboard outputs are non-null and internally consistent.</w:t>
      </w:r>
    </w:p>
    <w:p>
      <w:pPr>
        <w:pStyle w:val="ListParagraph"/>
        <w:numPr>
          <w:ilvl w:val="0"/>
          <w:numId w:val="2"/>
        </w:numPr>
        <w:spacing w:after="80"/>
      </w:pPr>
      <w:r>
        <w:rPr>
          <w:rFonts w:ascii="Arial" w:cs="Arial" w:eastAsia="Arial" w:hAnsi="Arial"/>
          <w:sz w:val="22"/>
          <w:szCs w:val="22"/>
        </w:rPr>
        <w:t xml:space="preserve">Data integrity constraints: Add database-level checks (e.g., scan_sessions.composite_score NOT NULL when status=completed) to prevent silent regressions.</w:t>
      </w:r>
    </w:p>
    <w:p>
      <w:pPr>
        <w:spacing w:after="80"/>
      </w:pPr>
    </w:p>
    <w:p>
      <w:pPr>
        <w:spacing w:after="80"/>
      </w:pPr>
    </w:p>
    <w:p>
      <w:pPr>
        <w:pBdr>
          <w:top w:val="single" w:color="B4C6E7" w:sz="2"/>
        </w:pBdr>
        <w:spacing w:before="200"/>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rFonts w:ascii="Arial" w:cs="Arial" w:eastAsia="Arial" w:hAnsi="Arial"/>
        <w:color w:val="999999"/>
        <w:sz w:val="18"/>
        <w:szCs w:val="18"/>
      </w:rPr>
      <w:t xml:space="preserve">KairoLogic Red Team — NPI 1245420108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2026-03-28T15:36:40.492Z</dcterms:created>
  <dcterms:modified xsi:type="dcterms:W3CDTF">2026-03-28T15:36:40.492Z</dcterms:modified>
</cp:coreProperties>
</file>

<file path=docProps/custom.xml><?xml version="1.0" encoding="utf-8"?>
<Properties xmlns="http://schemas.openxmlformats.org/officeDocument/2006/custom-properties" xmlns:vt="http://schemas.openxmlformats.org/officeDocument/2006/docPropsVTypes"/>
</file>