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200"/>
        <w:jc w:val="center"/>
      </w:pPr>
      <w:r>
        <w:rPr>
          <w:rFonts w:ascii="Arial" w:cs="Arial" w:eastAsia="Arial" w:hAnsi="Arial"/>
          <w:b/>
          <w:bCs/>
          <w:color w:val="1B4F72"/>
          <w:sz w:val="56"/>
          <w:szCs w:val="56"/>
        </w:rPr>
        <w:t xml:space="preserve">KairoLogic</w:t>
      </w:r>
    </w:p>
    <w:p>
      <w:pPr>
        <w:spacing w:after="120"/>
        <w:jc w:val="center"/>
      </w:pPr>
      <w:r>
        <w:rPr>
          <w:rFonts w:ascii="Arial" w:cs="Arial" w:eastAsia="Arial" w:hAnsi="Arial"/>
          <w:color w:val="2E86C1"/>
          <w:sz w:val="36"/>
          <w:szCs w:val="36"/>
        </w:rPr>
        <w:t xml:space="preserve">Practice Intelligence Platform</w:t>
      </w:r>
    </w:p>
    <w:p>
      <w:pPr>
        <w:pBdr>
          <w:bottom w:val="single" w:color="2E86C1" w:sz="6" w:space="1"/>
        </w:pBdr>
        <w:spacing w:after="400"/>
        <w:jc w:val="center"/>
      </w:pPr>
    </w:p>
    <w:p>
      <w:pPr>
        <w:spacing w:after="80"/>
        <w:jc w:val="center"/>
      </w:pPr>
      <w:r>
        <w:rPr>
          <w:rFonts w:ascii="Arial" w:cs="Arial" w:eastAsia="Arial" w:hAnsi="Arial"/>
          <w:b/>
          <w:bCs/>
          <w:color w:val="2C3E50"/>
          <w:sz w:val="44"/>
          <w:szCs w:val="44"/>
        </w:rPr>
        <w:t xml:space="preserve">Product Architecture</w:t>
      </w:r>
    </w:p>
    <w:p>
      <w:pPr>
        <w:spacing w:after="60"/>
        <w:jc w:val="center"/>
      </w:pPr>
      <w:r>
        <w:rPr>
          <w:rFonts w:ascii="Arial" w:cs="Arial" w:eastAsia="Arial" w:hAnsi="Arial"/>
          <w:color w:val="666666"/>
          <w:sz w:val="24"/>
          <w:szCs w:val="24"/>
        </w:rPr>
        <w:t xml:space="preserve">Signal Inventory, Workflow Mapping &amp; Validation Plan</w:t>
      </w:r>
    </w:p>
    <w:p>
      <w:pPr>
        <w:spacing w:after="80"/>
      </w:pPr>
    </w:p>
    <w:p>
      <w:pPr>
        <w:spacing w:after="80"/>
      </w:pPr>
    </w:p>
    <w:p>
      <w:pPr>
        <w:spacing w:after="80"/>
      </w:pPr>
    </w:p>
    <w:p>
      <w:pPr>
        <w:spacing w:after="60"/>
        <w:jc w:val="center"/>
      </w:pPr>
      <w:r>
        <w:rPr>
          <w:rFonts w:ascii="Arial" w:cs="Arial" w:eastAsia="Arial" w:hAnsi="Arial"/>
          <w:color w:val="888888"/>
          <w:sz w:val="22"/>
          <w:szCs w:val="22"/>
        </w:rPr>
        <w:t xml:space="preserve">Version 1.0  •  March 29, 2026</w:t>
      </w:r>
    </w:p>
    <w:p>
      <w:pPr>
        <w:spacing w:after="60"/>
        <w:jc w:val="center"/>
      </w:pPr>
      <w:r>
        <w:rPr>
          <w:rFonts w:ascii="Arial" w:cs="Arial" w:eastAsia="Arial" w:hAnsi="Arial"/>
          <w:i/>
          <w:iCs/>
          <w:color w:val="E74C3C"/>
          <w:sz w:val="20"/>
          <w:szCs w:val="20"/>
        </w:rPr>
        <w:t xml:space="preserve">Confidential — Internal Use Only</w:t>
      </w:r>
    </w:p>
    <w:p>
      <w:r>
        <w:br w:type="page"/>
      </w:r>
    </w:p>
    <w:p>
      <w:pPr>
        <w:pStyle w:val="Heading1"/>
        <w:spacing w:after="200" w:before="360"/>
      </w:pPr>
      <w:r>
        <w:rPr>
          <w:rFonts w:ascii="Arial" w:cs="Arial" w:eastAsia="Arial" w:hAnsi="Arial"/>
          <w:b/>
          <w:bCs/>
          <w:color w:val="1B4F72"/>
          <w:sz w:val="32"/>
          <w:szCs w:val="32"/>
        </w:rPr>
        <w:t xml:space="preserve">1. Executive Summary</w:t>
      </w:r>
    </w:p>
    <w:p>
      <w:pPr>
        <w:spacing w:after="120"/>
        <w:jc w:val="left"/>
      </w:pPr>
      <w:r>
        <w:rPr>
          <w:rFonts w:ascii="Arial" w:cs="Arial" w:eastAsia="Arial" w:hAnsi="Arial"/>
          <w:b w:val="false"/>
          <w:bCs w:val="false"/>
          <w:i w:val="false"/>
          <w:iCs w:val="false"/>
          <w:color w:val="333333"/>
          <w:sz w:val="21"/>
          <w:szCs w:val="21"/>
        </w:rPr>
        <w:t xml:space="preserve">KairoLogic is a provider data integrity platform that continuously monitors external data sources, detects discrepancies, and orchestrates corrections through a provider-centric dashboard. Unlike credentialing tools that focus on initial enrollment, KairoLogic fills the ongoing accuracy gap — watching what happens to provider data after it leaves the practice’s control.</w:t>
      </w:r>
    </w:p>
    <w:p>
      <w:pPr>
        <w:spacing w:after="120"/>
        <w:jc w:val="left"/>
      </w:pPr>
      <w:r>
        <w:rPr>
          <w:rFonts w:ascii="Arial" w:cs="Arial" w:eastAsia="Arial" w:hAnsi="Arial"/>
          <w:b w:val="false"/>
          <w:bCs w:val="false"/>
          <w:i w:val="false"/>
          <w:iCs w:val="false"/>
          <w:color w:val="333333"/>
          <w:sz w:val="21"/>
          <w:szCs w:val="21"/>
        </w:rPr>
        <w:t xml:space="preserve">This document inventories every signal the platform detects across six data domains, maps each signal to dashboard workflows with validate-correct-monitor-resolve capabilities, defines the provider-centric architecture, and establishes a validation plan across 20 live providers.</w:t>
      </w:r>
    </w:p>
    <w:p>
      <w:pPr>
        <w:pStyle w:val="Heading2"/>
        <w:spacing w:after="160" w:before="280"/>
      </w:pPr>
      <w:r>
        <w:rPr>
          <w:rFonts w:ascii="Arial" w:cs="Arial" w:eastAsia="Arial" w:hAnsi="Arial"/>
          <w:b/>
          <w:bCs/>
          <w:color w:val="2C3E50"/>
          <w:sz w:val="26"/>
          <w:szCs w:val="26"/>
        </w:rPr>
        <w:t xml:space="preserve">1.1 The Five Gaps KairoLogic Fills</w:t>
      </w:r>
    </w:p>
    <w:p>
      <w:pPr>
        <w:spacing w:after="120"/>
        <w:jc w:val="left"/>
      </w:pPr>
      <w:r>
        <w:rPr>
          <w:rFonts w:ascii="Arial" w:cs="Arial" w:eastAsia="Arial" w:hAnsi="Arial"/>
          <w:b w:val="false"/>
          <w:bCs w:val="false"/>
          <w:i w:val="false"/>
          <w:iCs w:val="false"/>
          <w:color w:val="333333"/>
          <w:sz w:val="21"/>
          <w:szCs w:val="21"/>
        </w:rPr>
        <w:t xml:space="preserve">Industry research with credentialing professionals identified five structural gaps in the current provider data ecosystem that no existing tool addresses holistically:</w:t>
      </w:r>
    </w:p>
    <w:p>
      <w:pPr>
        <w:spacing w:after="120"/>
      </w:pPr>
      <w:r>
        <w:rPr>
          <w:rFonts w:ascii="Arial" w:cs="Arial" w:eastAsia="Arial" w:hAnsi="Arial"/>
          <w:b/>
          <w:bCs/>
          <w:color w:val="333333"/>
          <w:sz w:val="21"/>
          <w:szCs w:val="21"/>
        </w:rPr>
        <w:t xml:space="preserve">Gap 1 — Self-reported data is never verified. </w:t>
      </w:r>
      <w:r>
        <w:rPr>
          <w:rFonts w:ascii="Arial" w:cs="Arial" w:eastAsia="Arial" w:hAnsi="Arial"/>
          <w:color w:val="333333"/>
          <w:sz w:val="21"/>
          <w:szCs w:val="21"/>
        </w:rPr>
        <w:t xml:space="preserve">CAQH relies on providers to self-attest accuracy. No system cross-checks against external sources like NPPES, state boards, or payer directories.</w:t>
      </w:r>
    </w:p>
    <w:p>
      <w:pPr>
        <w:spacing w:after="120"/>
      </w:pPr>
      <w:r>
        <w:rPr>
          <w:rFonts w:ascii="Arial" w:cs="Arial" w:eastAsia="Arial" w:hAnsi="Arial"/>
          <w:b/>
          <w:bCs/>
          <w:color w:val="333333"/>
          <w:sz w:val="21"/>
          <w:szCs w:val="21"/>
        </w:rPr>
        <w:t xml:space="preserve">Gap 2 — Extraction introduces errors. </w:t>
      </w:r>
      <w:r>
        <w:rPr>
          <w:rFonts w:ascii="Arial" w:cs="Arial" w:eastAsia="Arial" w:hAnsi="Arial"/>
          <w:color w:val="333333"/>
          <w:sz w:val="21"/>
          <w:szCs w:val="21"/>
        </w:rPr>
        <w:t xml:space="preserve">When payers pull data from CAQH, formatting differences and mapping failures silently corrupt addresses, phone numbers, and specialties.</w:t>
      </w:r>
    </w:p>
    <w:p>
      <w:pPr>
        <w:spacing w:after="120"/>
      </w:pPr>
      <w:r>
        <w:rPr>
          <w:rFonts w:ascii="Arial" w:cs="Arial" w:eastAsia="Arial" w:hAnsi="Arial"/>
          <w:b/>
          <w:bCs/>
          <w:color w:val="333333"/>
          <w:sz w:val="21"/>
          <w:szCs w:val="21"/>
        </w:rPr>
        <w:t xml:space="preserve">Gap 3 — Attestation does not equal accuracy. </w:t>
      </w:r>
      <w:r>
        <w:rPr>
          <w:rFonts w:ascii="Arial" w:cs="Arial" w:eastAsia="Arial" w:hAnsi="Arial"/>
          <w:color w:val="333333"/>
          <w:sz w:val="21"/>
          <w:szCs w:val="21"/>
        </w:rPr>
        <w:t xml:space="preserve">A provider re-attesting quarterly simply confirms “yes, this is what I entered” — not that the data matches reality across external systems.</w:t>
      </w:r>
    </w:p>
    <w:p>
      <w:pPr>
        <w:spacing w:after="120"/>
      </w:pPr>
      <w:r>
        <w:rPr>
          <w:rFonts w:ascii="Arial" w:cs="Arial" w:eastAsia="Arial" w:hAnsi="Arial"/>
          <w:b/>
          <w:bCs/>
          <w:color w:val="333333"/>
          <w:sz w:val="21"/>
          <w:szCs w:val="21"/>
        </w:rPr>
        <w:t xml:space="preserve">Gap 4 — Nothing watches the external world between cycles. </w:t>
      </w:r>
      <w:r>
        <w:rPr>
          <w:rFonts w:ascii="Arial" w:cs="Arial" w:eastAsia="Arial" w:hAnsi="Arial"/>
          <w:color w:val="333333"/>
          <w:sz w:val="21"/>
          <w:szCs w:val="21"/>
        </w:rPr>
        <w:t xml:space="preserve">Between quarterly attestations, provider data drifts across NPPES, payer directories, state boards, and practice websites with no monitoring.</w:t>
      </w:r>
    </w:p>
    <w:p>
      <w:pPr>
        <w:spacing w:after="120"/>
      </w:pPr>
      <w:r>
        <w:rPr>
          <w:rFonts w:ascii="Arial" w:cs="Arial" w:eastAsia="Arial" w:hAnsi="Arial"/>
          <w:b/>
          <w:bCs/>
          <w:color w:val="333333"/>
          <w:sz w:val="21"/>
          <w:szCs w:val="21"/>
        </w:rPr>
        <w:t xml:space="preserve">Gap 5 — CAQH has no practice website layer. </w:t>
      </w:r>
      <w:r>
        <w:rPr>
          <w:rFonts w:ascii="Arial" w:cs="Arial" w:eastAsia="Arial" w:hAnsi="Arial"/>
          <w:color w:val="333333"/>
          <w:sz w:val="21"/>
          <w:szCs w:val="21"/>
        </w:rPr>
        <w:t xml:space="preserve">What patients actually see on the practice website is invisible to the credentialing ecosystem. Stale provider listings, wrong addresses, and missing disclosures persist unchecked.</w:t>
      </w:r>
    </w:p>
    <w:p>
      <w:pPr>
        <w:spacing w:after="120"/>
        <w:jc w:val="left"/>
      </w:pPr>
      <w:r>
        <w:rPr>
          <w:rFonts w:ascii="Arial" w:cs="Arial" w:eastAsia="Arial" w:hAnsi="Arial"/>
          <w:b w:val="false"/>
          <w:bCs w:val="false"/>
          <w:i w:val="false"/>
          <w:iCs w:val="false"/>
          <w:color w:val="333333"/>
          <w:sz w:val="21"/>
          <w:szCs w:val="21"/>
        </w:rPr>
        <w:t xml:space="preserve">KairoLogic addresses all five gaps through continuous external monitoring, cross-source comparison, and workflow-driven correction — giving practice managers a single pane of glass for their provider data integrity.</w:t>
      </w:r>
    </w:p>
    <w:p>
      <w:pPr>
        <w:pStyle w:val="Heading2"/>
        <w:spacing w:after="160" w:before="280"/>
      </w:pPr>
      <w:r>
        <w:rPr>
          <w:rFonts w:ascii="Arial" w:cs="Arial" w:eastAsia="Arial" w:hAnsi="Arial"/>
          <w:b/>
          <w:bCs/>
          <w:color w:val="2C3E50"/>
          <w:sz w:val="26"/>
          <w:szCs w:val="26"/>
        </w:rPr>
        <w:t xml:space="preserve">1.2 Platform Data Sources</w:t>
      </w:r>
    </w:p>
    <w:p>
      <w:pPr>
        <w:spacing w:after="120"/>
        <w:jc w:val="left"/>
      </w:pPr>
      <w:r>
        <w:rPr>
          <w:rFonts w:ascii="Arial" w:cs="Arial" w:eastAsia="Arial" w:hAnsi="Arial"/>
          <w:b w:val="false"/>
          <w:bCs w:val="false"/>
          <w:i w:val="false"/>
          <w:iCs w:val="false"/>
          <w:color w:val="333333"/>
          <w:sz w:val="21"/>
          <w:szCs w:val="21"/>
        </w:rPr>
        <w:t xml:space="preserve">The platform ingests and cross-references data from six categories of external sources, each providing distinct signals about provider data accuracy: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1600"/>
        <w:gridCol w:w="1400"/>
      </w:tblGrid>
      <w:tr>
        <w:trPr>
          <w:tblHeader/>
        </w:trPr>
        <w:tc>
          <w:tcPr>
            <w:tcW w:type="dxa" w:w="1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Data Domain</w:t>
            </w:r>
          </w:p>
        </w:tc>
        <w:tc>
          <w:tcPr>
            <w:tcW w:type="dxa" w:w="2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Sources</w:t>
            </w:r>
          </w:p>
        </w:tc>
        <w:tc>
          <w:tcPr>
            <w:tcW w:type="dxa" w:w="1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Refresh Cadence</w:t>
            </w:r>
          </w:p>
        </w:tc>
        <w:tc>
          <w:tcPr>
            <w:tcW w:type="dxa" w:w="1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Current Scale</w:t>
            </w:r>
          </w:p>
        </w:tc>
      </w:tr>
      <w:tr>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Provider Website</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Practice website HTML scan (address, phone, provider names, specialties, compliance elements)</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Weekly automated scan</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57,502 websites</w:t>
            </w:r>
          </w:p>
        </w:tc>
      </w:tr>
      <w:tr>
        <w:tc>
          <w:tcPr>
            <w:tcW w:type="dxa" w:w="16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NPPES</w:t>
            </w:r>
          </w:p>
        </w:tc>
        <w:tc>
          <w:tcPr>
            <w:tcW w:type="dxa" w:w="2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CMS National Plan &amp; Provider Enumeration System (NPI, address, phone, taxonomy, status)</w:t>
            </w:r>
          </w:p>
        </w:tc>
        <w:tc>
          <w:tcPr>
            <w:tcW w:type="dxa" w:w="16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Weekly delta sync</w:t>
            </w:r>
          </w:p>
        </w:tc>
        <w:tc>
          <w:tcPr>
            <w:tcW w:type="dxa" w:w="1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1.8M providers, 11.5K+ delta events</w:t>
            </w:r>
          </w:p>
        </w:tc>
      </w:tr>
      <w:tr>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Payer Directories</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FHIR PDex Plan-Net APIs: UHC, Aetna, Cigna, Humana (+ BCBS pending)</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On-demand + weekly batch</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12,503 snapshots across 4 payers</w:t>
            </w:r>
          </w:p>
        </w:tc>
      </w:tr>
      <w:tr>
        <w:tc>
          <w:tcPr>
            <w:tcW w:type="dxa" w:w="16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State Licensing</w:t>
            </w:r>
          </w:p>
        </w:tc>
        <w:tc>
          <w:tcPr>
            <w:tcW w:type="dxa" w:w="2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TX Medical Board, CA Medical Board (license status, expiration, disciplinary actions, malpractice)</w:t>
            </w:r>
          </w:p>
        </w:tc>
        <w:tc>
          <w:tcPr>
            <w:tcW w:type="dxa" w:w="16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Monthly sync</w:t>
            </w:r>
          </w:p>
        </w:tc>
        <w:tc>
          <w:tcPr>
            <w:tcW w:type="dxa" w:w="1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502K licenses across TX + CA</w:t>
            </w:r>
          </w:p>
        </w:tc>
      </w:tr>
      <w:tr>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Federal Enrollment</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PECOS (Medicare enrollment, reassignment status)</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Monthly sync</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461K enrollment records</w:t>
            </w:r>
          </w:p>
        </w:tc>
      </w:tr>
      <w:tr>
        <w:tc>
          <w:tcPr>
            <w:tcW w:type="dxa" w:w="16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State Compliance</w:t>
            </w:r>
          </w:p>
        </w:tc>
        <w:tc>
          <w:tcPr>
            <w:tcW w:type="dxa" w:w="2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Website compliance scanner (SB 1188, HB 149, AB 3030 — data sovereignty, AI transparency)</w:t>
            </w:r>
          </w:p>
        </w:tc>
        <w:tc>
          <w:tcPr>
            <w:tcW w:type="dxa" w:w="16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Per website scan cycle</w:t>
            </w:r>
          </w:p>
        </w:tc>
        <w:tc>
          <w:tcPr>
            <w:tcW w:type="dxa" w:w="1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57,502 websites scanned</w:t>
            </w:r>
          </w:p>
        </w:tc>
      </w:tr>
    </w:tbl>
    <w:p>
      <w:r>
        <w:br w:type="page"/>
      </w:r>
    </w:p>
    <w:p>
      <w:pPr>
        <w:pStyle w:val="Heading1"/>
        <w:spacing w:after="200" w:before="360"/>
      </w:pPr>
      <w:r>
        <w:rPr>
          <w:rFonts w:ascii="Arial" w:cs="Arial" w:eastAsia="Arial" w:hAnsi="Arial"/>
          <w:b/>
          <w:bCs/>
          <w:color w:val="1B4F72"/>
          <w:sz w:val="32"/>
          <w:szCs w:val="32"/>
        </w:rPr>
        <w:t xml:space="preserve">2. Complete Signal Inventory</w:t>
      </w:r>
    </w:p>
    <w:p>
      <w:pPr>
        <w:spacing w:after="120"/>
        <w:jc w:val="left"/>
      </w:pPr>
      <w:r>
        <w:rPr>
          <w:rFonts w:ascii="Arial" w:cs="Arial" w:eastAsia="Arial" w:hAnsi="Arial"/>
          <w:b w:val="false"/>
          <w:bCs w:val="false"/>
          <w:i w:val="false"/>
          <w:iCs w:val="false"/>
          <w:color w:val="333333"/>
          <w:sz w:val="21"/>
          <w:szCs w:val="21"/>
        </w:rPr>
        <w:t xml:space="preserve">Every finding detected by the platform is classified as a signal. Signals are the atomic unit of action — each one triggers or contributes to a workflow. The following inventory covers all 42+ unique signal types across 7 categories, including 4 new operational health signals added March 2026.</w:t>
      </w:r>
    </w:p>
    <w:p>
      <w:pPr>
        <w:pStyle w:val="Heading2"/>
        <w:spacing w:after="160" w:before="280"/>
      </w:pPr>
      <w:r>
        <w:rPr>
          <w:rFonts w:ascii="Arial" w:cs="Arial" w:eastAsia="Arial" w:hAnsi="Arial"/>
          <w:b/>
          <w:bCs/>
          <w:color w:val="2C3E50"/>
          <w:sz w:val="26"/>
          <w:szCs w:val="26"/>
        </w:rPr>
        <w:t xml:space="preserve">2.1 NPPES Update Signals (6 signals)</w:t>
      </w:r>
    </w:p>
    <w:p>
      <w:pPr>
        <w:spacing w:after="120"/>
        <w:jc w:val="left"/>
      </w:pPr>
      <w:r>
        <w:rPr>
          <w:rFonts w:ascii="Arial" w:cs="Arial" w:eastAsia="Arial" w:hAnsi="Arial"/>
          <w:b w:val="false"/>
          <w:bCs w:val="false"/>
          <w:i w:val="false"/>
          <w:iCs w:val="false"/>
          <w:color w:val="333333"/>
          <w:sz w:val="21"/>
          <w:szCs w:val="21"/>
        </w:rPr>
        <w:t xml:space="preserve">Detected by comparing practice website content against the NPPES record for each provider NPI. The delta engine runs on every website scan and flags field-level discrepancies.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1200"/>
        <w:gridCol w:w="1400"/>
      </w:tblGrid>
      <w:tr>
        <w:trPr>
          <w:tblHeader/>
        </w:trPr>
        <w:tc>
          <w:tcPr>
            <w:tcW w:type="dxa" w:w="1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Signal</w:t>
            </w:r>
          </w:p>
        </w:tc>
        <w:tc>
          <w:tcPr>
            <w:tcW w:type="dxa" w:w="3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Detection Method</w:t>
            </w:r>
          </w:p>
        </w:tc>
        <w:tc>
          <w:tcPr>
            <w:tcW w:type="dxa" w:w="1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Severity</w:t>
            </w:r>
          </w:p>
        </w:tc>
        <w:tc>
          <w:tcPr>
            <w:tcW w:type="dxa" w:w="1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Auto-Confirm Source</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Address mismatch</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Website address vs NPPES address_line_1 + city/state/zip</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High</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NPPES weekly sync</w:t>
            </w:r>
          </w:p>
        </w:tc>
      </w:tr>
      <w:tr>
        <w:tc>
          <w:tcPr>
            <w:tcW w:type="dxa" w:w="1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Phone mismatch</w:t>
            </w:r>
          </w:p>
        </w:tc>
        <w:tc>
          <w:tcPr>
            <w:tcW w:type="dxa" w:w="3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Website phone vs NPPES telephone_number</w:t>
            </w:r>
          </w:p>
        </w:tc>
        <w:tc>
          <w:tcPr>
            <w:tcW w:type="dxa" w:w="1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Medium</w:t>
            </w:r>
          </w:p>
        </w:tc>
        <w:tc>
          <w:tcPr>
            <w:tcW w:type="dxa" w:w="1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NPPES weekly sync</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Provider moved</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Provider on website but NPPES shows different practice address</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High</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NPPES weekly sync</w:t>
            </w:r>
          </w:p>
        </w:tc>
      </w:tr>
      <w:tr>
        <w:tc>
          <w:tcPr>
            <w:tcW w:type="dxa" w:w="1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Departed provider</w:t>
            </w:r>
          </w:p>
        </w:tc>
        <w:tc>
          <w:tcPr>
            <w:tcW w:type="dxa" w:w="3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Provider no longer at NPPES address but still on website</w:t>
            </w:r>
          </w:p>
        </w:tc>
        <w:tc>
          <w:tcPr>
            <w:tcW w:type="dxa" w:w="1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Critical</w:t>
            </w:r>
          </w:p>
        </w:tc>
        <w:tc>
          <w:tcPr>
            <w:tcW w:type="dxa" w:w="1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NPPES + website re-scan</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Name mismatch</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Organization name on website vs NPPES org name</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Low</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NPPES weekly sync</w:t>
            </w:r>
          </w:p>
        </w:tc>
      </w:tr>
      <w:tr>
        <w:tc>
          <w:tcPr>
            <w:tcW w:type="dxa" w:w="1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Specialty mismatch</w:t>
            </w:r>
          </w:p>
        </w:tc>
        <w:tc>
          <w:tcPr>
            <w:tcW w:type="dxa" w:w="3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Website specialty vs NPPES taxonomy code</w:t>
            </w:r>
          </w:p>
        </w:tc>
        <w:tc>
          <w:tcPr>
            <w:tcW w:type="dxa" w:w="1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Medium</w:t>
            </w:r>
          </w:p>
        </w:tc>
        <w:tc>
          <w:tcPr>
            <w:tcW w:type="dxa" w:w="1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NPPES weekly sync</w:t>
            </w:r>
          </w:p>
        </w:tc>
      </w:tr>
    </w:tbl>
    <w:p>
      <w:pPr>
        <w:spacing w:after="80"/>
      </w:pPr>
    </w:p>
    <w:p>
      <w:pPr>
        <w:pStyle w:val="Heading2"/>
        <w:spacing w:after="160" w:before="280"/>
      </w:pPr>
      <w:r>
        <w:rPr>
          <w:rFonts w:ascii="Arial" w:cs="Arial" w:eastAsia="Arial" w:hAnsi="Arial"/>
          <w:b/>
          <w:bCs/>
          <w:color w:val="2C3E50"/>
          <w:sz w:val="26"/>
          <w:szCs w:val="26"/>
        </w:rPr>
        <w:t xml:space="preserve">2.2 Payer Directory Signals (5 signals × 6 payers = 30 signal instances)</w:t>
      </w:r>
    </w:p>
    <w:p>
      <w:pPr>
        <w:spacing w:after="120"/>
        <w:jc w:val="left"/>
      </w:pPr>
      <w:r>
        <w:rPr>
          <w:rFonts w:ascii="Arial" w:cs="Arial" w:eastAsia="Arial" w:hAnsi="Arial"/>
          <w:b w:val="false"/>
          <w:bCs w:val="false"/>
          <w:i w:val="false"/>
          <w:iCs w:val="false"/>
          <w:color w:val="333333"/>
          <w:sz w:val="21"/>
          <w:szCs w:val="21"/>
        </w:rPr>
        <w:t xml:space="preserve">Detected via FHIR PDex Plan-Net API queries against each payer’s provider directory. Each signal type applies independently per payer, generating up to 30 unique signal instances per provider. The system uses payer-specific search strategies: NPI-based identifier search for UHC, Aetna, and Humana; name-based search for Cigna.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1200"/>
        <w:gridCol w:w="1400"/>
      </w:tblGrid>
      <w:tr>
        <w:trPr>
          <w:tblHeader/>
        </w:trPr>
        <w:tc>
          <w:tcPr>
            <w:tcW w:type="dxa" w:w="1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Signal</w:t>
            </w:r>
          </w:p>
        </w:tc>
        <w:tc>
          <w:tcPr>
            <w:tcW w:type="dxa" w:w="3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Detection Method</w:t>
            </w:r>
          </w:p>
        </w:tc>
        <w:tc>
          <w:tcPr>
            <w:tcW w:type="dxa" w:w="1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Severity</w:t>
            </w:r>
          </w:p>
        </w:tc>
        <w:tc>
          <w:tcPr>
            <w:tcW w:type="dxa" w:w="1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CAQH Propagation</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Not listed</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Provider NPI/name returns no results from payer FHIR endpoint</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High</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CAQH update may auto-list with UHC, Aetna</w:t>
            </w:r>
          </w:p>
        </w:tc>
      </w:tr>
      <w:tr>
        <w:tc>
          <w:tcPr>
            <w:tcW w:type="dxa" w:w="1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Address mismatch</w:t>
            </w:r>
          </w:p>
        </w:tc>
        <w:tc>
          <w:tcPr>
            <w:tcW w:type="dxa" w:w="3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Payer directory address vs NPPES/practice canonical address</w:t>
            </w:r>
          </w:p>
        </w:tc>
        <w:tc>
          <w:tcPr>
            <w:tcW w:type="dxa" w:w="1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High</w:t>
            </w:r>
          </w:p>
        </w:tc>
        <w:tc>
          <w:tcPr>
            <w:tcW w:type="dxa" w:w="1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CAQH address update propagates to UHC, Aetna</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Phone mismatch</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Payer directory phone vs NPPES/practice phone</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Medium</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CAQH phone update propagates</w:t>
            </w:r>
          </w:p>
        </w:tc>
      </w:tr>
      <w:tr>
        <w:tc>
          <w:tcPr>
            <w:tcW w:type="dxa" w:w="1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Specialty mismatch</w:t>
            </w:r>
          </w:p>
        </w:tc>
        <w:tc>
          <w:tcPr>
            <w:tcW w:type="dxa" w:w="3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Payer taxonomy code vs NPPES taxonomy code</w:t>
            </w:r>
          </w:p>
        </w:tc>
        <w:tc>
          <w:tcPr>
            <w:tcW w:type="dxa" w:w="1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Medium</w:t>
            </w:r>
          </w:p>
        </w:tc>
        <w:tc>
          <w:tcPr>
            <w:tcW w:type="dxa" w:w="1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CAQH taxonomy update propagates</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Name mismatch</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Payer directory provider name vs NPPES registered name</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Low</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CAQH name update propagates</w:t>
            </w:r>
          </w:p>
        </w:tc>
      </w:tr>
    </w:tbl>
    <w:p>
      <w:pPr>
        <w:spacing w:after="80"/>
      </w:pPr>
    </w:p>
    <w:p>
      <w:pPr>
        <w:pStyle w:val="Heading3"/>
        <w:spacing w:after="120" w:before="200"/>
      </w:pPr>
      <w:r>
        <w:rPr>
          <w:rFonts w:ascii="Arial" w:cs="Arial" w:eastAsia="Arial" w:hAnsi="Arial"/>
          <w:b/>
          <w:bCs/>
          <w:color w:val="2E86C1"/>
          <w:sz w:val="22"/>
          <w:szCs w:val="22"/>
        </w:rPr>
        <w:t xml:space="preserve">Payer Coverage Matrix</w:t>
      </w:r>
    </w:p>
    <w:p>
      <w:pPr>
        <w:spacing w:after="120"/>
        <w:jc w:val="left"/>
      </w:pPr>
      <w:r>
        <w:rPr>
          <w:rFonts w:ascii="Arial" w:cs="Arial" w:eastAsia="Arial" w:hAnsi="Arial"/>
          <w:b w:val="false"/>
          <w:bCs w:val="false"/>
          <w:i w:val="false"/>
          <w:iCs w:val="false"/>
          <w:color w:val="333333"/>
          <w:sz w:val="21"/>
          <w:szCs w:val="21"/>
        </w:rPr>
        <w:t xml:space="preserve">Current API integration status and authentication requirements per payer: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1200"/>
        <w:gridCol w:w="1400"/>
        <w:gridCol w:w="2200"/>
      </w:tblGrid>
      <w:tr>
        <w:trPr>
          <w:tblHeader/>
        </w:trPr>
        <w:tc>
          <w:tcPr>
            <w:tcW w:type="dxa" w:w="1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Payer</w:t>
            </w:r>
          </w:p>
        </w:tc>
        <w:tc>
          <w:tcPr>
            <w:tcW w:type="dxa" w:w="1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Status</w:t>
            </w:r>
          </w:p>
        </w:tc>
        <w:tc>
          <w:tcPr>
            <w:tcW w:type="dxa" w:w="1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Auth Type</w:t>
            </w:r>
          </w:p>
        </w:tc>
        <w:tc>
          <w:tcPr>
            <w:tcW w:type="dxa" w:w="1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Search Mode</w:t>
            </w:r>
          </w:p>
        </w:tc>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Notes</w:t>
            </w:r>
          </w:p>
        </w:tc>
      </w:tr>
      <w:tr>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UnitedHealthcare</w:t>
            </w:r>
          </w:p>
        </w:tc>
        <w:tc>
          <w:tcPr>
            <w:tcW w:type="dxa" w:w="1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Live</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None</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NPI identifier</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Intermittent 500s on PractitionerRole queries</w:t>
            </w:r>
          </w:p>
        </w:tc>
      </w:tr>
      <w:tr>
        <w:tc>
          <w:tcPr>
            <w:tcW w:type="dxa" w:w="16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Aetna / CVS Health</w:t>
            </w:r>
          </w:p>
        </w:tc>
        <w:tc>
          <w:tcPr>
            <w:tcW w:type="dxa" w:w="1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Live</w:t>
            </w:r>
          </w:p>
        </w:tc>
        <w:tc>
          <w:tcPr>
            <w:tcW w:type="dxa" w:w="1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OAuth2</w:t>
            </w:r>
          </w:p>
        </w:tc>
        <w:tc>
          <w:tcPr>
            <w:tcW w:type="dxa" w:w="1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NPI identifier</w:t>
            </w:r>
          </w:p>
        </w:tc>
        <w:tc>
          <w:tcPr>
            <w:tcW w:type="dxa" w:w="2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Credentials require periodic renewal</w:t>
            </w:r>
          </w:p>
        </w:tc>
      </w:tr>
      <w:tr>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Cigna</w:t>
            </w:r>
          </w:p>
        </w:tc>
        <w:tc>
          <w:tcPr>
            <w:tcW w:type="dxa" w:w="1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Live</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None</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Name-based</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No identifier search; uses family/given name</w:t>
            </w:r>
          </w:p>
        </w:tc>
      </w:tr>
      <w:tr>
        <w:tc>
          <w:tcPr>
            <w:tcW w:type="dxa" w:w="16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Humana</w:t>
            </w:r>
          </w:p>
        </w:tc>
        <w:tc>
          <w:tcPr>
            <w:tcW w:type="dxa" w:w="1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Live</w:t>
            </w:r>
          </w:p>
        </w:tc>
        <w:tc>
          <w:tcPr>
            <w:tcW w:type="dxa" w:w="1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None</w:t>
            </w:r>
          </w:p>
        </w:tc>
        <w:tc>
          <w:tcPr>
            <w:tcW w:type="dxa" w:w="1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NPI identifier</w:t>
            </w:r>
          </w:p>
        </w:tc>
        <w:tc>
          <w:tcPr>
            <w:tcW w:type="dxa" w:w="2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30s timeout; needs 60s for complex queries</w:t>
            </w:r>
          </w:p>
        </w:tc>
      </w:tr>
      <w:tr>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BCBS TX (HCSC)</w:t>
            </w:r>
          </w:p>
        </w:tc>
        <w:tc>
          <w:tcPr>
            <w:tcW w:type="dxa" w:w="1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Pending</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Client ID</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TBD</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Awaiting client_id from HCSC interop team</w:t>
            </w:r>
          </w:p>
        </w:tc>
      </w:tr>
      <w:tr>
        <w:tc>
          <w:tcPr>
            <w:tcW w:type="dxa" w:w="16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Blue Shield CA</w:t>
            </w:r>
          </w:p>
        </w:tc>
        <w:tc>
          <w:tcPr>
            <w:tcW w:type="dxa" w:w="1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Pending</w:t>
            </w:r>
          </w:p>
        </w:tc>
        <w:tc>
          <w:tcPr>
            <w:tcW w:type="dxa" w:w="1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Client ID</w:t>
            </w:r>
          </w:p>
        </w:tc>
        <w:tc>
          <w:tcPr>
            <w:tcW w:type="dxa" w:w="1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TBD</w:t>
            </w:r>
          </w:p>
        </w:tc>
        <w:tc>
          <w:tcPr>
            <w:tcW w:type="dxa" w:w="2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Developer registration required</w:t>
            </w:r>
          </w:p>
        </w:tc>
      </w:tr>
    </w:tbl>
    <w:p>
      <w:pPr>
        <w:spacing w:after="80"/>
      </w:pPr>
    </w:p>
    <w:p>
      <w:pPr>
        <w:pStyle w:val="Heading2"/>
        <w:spacing w:after="160" w:before="280"/>
      </w:pPr>
      <w:r>
        <w:rPr>
          <w:rFonts w:ascii="Arial" w:cs="Arial" w:eastAsia="Arial" w:hAnsi="Arial"/>
          <w:b/>
          <w:bCs/>
          <w:color w:val="2C3E50"/>
          <w:sz w:val="26"/>
          <w:szCs w:val="26"/>
        </w:rPr>
        <w:t xml:space="preserve">2.3 Provider Onboarding Signals (2 signals + dynamic checklist)</w:t>
      </w:r>
    </w:p>
    <w:p>
      <w:pPr>
        <w:spacing w:after="120"/>
        <w:jc w:val="left"/>
      </w:pPr>
      <w:r>
        <w:rPr>
          <w:rFonts w:ascii="Arial" w:cs="Arial" w:eastAsia="Arial" w:hAnsi="Arial"/>
          <w:b w:val="false"/>
          <w:bCs w:val="false"/>
          <w:i w:val="false"/>
          <w:iCs w:val="false"/>
          <w:color w:val="333333"/>
          <w:sz w:val="21"/>
          <w:szCs w:val="21"/>
        </w:rPr>
        <w:t xml:space="preserve">Triggered when a practice manager adds a new provider to the roster via NPI lookup. The system performs a day-one snapshot across all external sources to identify pre-existing issues before the provider starts seeing patients.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1200"/>
        <w:gridCol w:w="2200"/>
      </w:tblGrid>
      <w:tr>
        <w:trPr>
          <w:tblHeader/>
        </w:trPr>
        <w:tc>
          <w:tcPr>
            <w:tcW w:type="dxa" w:w="1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Signal</w:t>
            </w:r>
          </w:p>
        </w:tc>
        <w:tc>
          <w:tcPr>
            <w:tcW w:type="dxa" w:w="3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Detection Method</w:t>
            </w:r>
          </w:p>
        </w:tc>
        <w:tc>
          <w:tcPr>
            <w:tcW w:type="dxa" w:w="1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Severity</w:t>
            </w:r>
          </w:p>
        </w:tc>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Generated Tasks</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New provider added</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Practice manager enters NPI; system pulls NPPES, PECOS, state board, payer directories</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Informational</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Full credentialing checklist: CAQH enrollment, payer apps, NPPES update, website addition</w:t>
            </w:r>
          </w:p>
        </w:tc>
      </w:tr>
      <w:tr>
        <w:tc>
          <w:tcPr>
            <w:tcW w:type="dxa" w:w="1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Pre-existing issues</w:t>
            </w:r>
          </w:p>
        </w:tc>
        <w:tc>
          <w:tcPr>
            <w:tcW w:type="dxa" w:w="3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Day-one snapshot reveals disciplinary history, expired license, NPPES pointing to old practice, payer directory gaps</w:t>
            </w:r>
          </w:p>
        </w:tc>
        <w:tc>
          <w:tcPr>
            <w:tcW w:type="dxa" w:w="1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High</w:t>
            </w:r>
          </w:p>
        </w:tc>
        <w:tc>
          <w:tcPr>
            <w:tcW w:type="dxa" w:w="2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Issue-specific remediation tasks added to onboarding checklist</w:t>
            </w:r>
          </w:p>
        </w:tc>
      </w:tr>
    </w:tbl>
    <w:p>
      <w:pPr>
        <w:spacing w:after="80"/>
      </w:pPr>
    </w:p>
    <w:p>
      <w:pPr>
        <w:pStyle w:val="Heading2"/>
        <w:spacing w:after="160" w:before="280"/>
      </w:pPr>
      <w:r>
        <w:rPr>
          <w:rFonts w:ascii="Arial" w:cs="Arial" w:eastAsia="Arial" w:hAnsi="Arial"/>
          <w:b/>
          <w:bCs/>
          <w:color w:val="2C3E50"/>
          <w:sz w:val="26"/>
          <w:szCs w:val="26"/>
        </w:rPr>
        <w:t xml:space="preserve">2.4 Provider Release Signals (3 signals + dynamic checklist)</w:t>
      </w:r>
    </w:p>
    <w:p>
      <w:pPr>
        <w:spacing w:after="120"/>
        <w:jc w:val="left"/>
      </w:pPr>
      <w:r>
        <w:rPr>
          <w:rFonts w:ascii="Arial" w:cs="Arial" w:eastAsia="Arial" w:hAnsi="Arial"/>
          <w:b w:val="false"/>
          <w:bCs w:val="false"/>
          <w:i w:val="false"/>
          <w:iCs w:val="false"/>
          <w:color w:val="333333"/>
          <w:sz w:val="21"/>
          <w:szCs w:val="21"/>
        </w:rPr>
        <w:t xml:space="preserve">Triggered when a practice manager marks a provider as departing. The system generates a departure checklist and monitors all external sources for 90 days to confirm the provider is fully removed.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1200"/>
        <w:gridCol w:w="2200"/>
      </w:tblGrid>
      <w:tr>
        <w:trPr>
          <w:tblHeader/>
        </w:trPr>
        <w:tc>
          <w:tcPr>
            <w:tcW w:type="dxa" w:w="2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Signal</w:t>
            </w:r>
          </w:p>
        </w:tc>
        <w:tc>
          <w:tcPr>
            <w:tcW w:type="dxa" w:w="3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Detection Method</w:t>
            </w:r>
          </w:p>
        </w:tc>
        <w:tc>
          <w:tcPr>
            <w:tcW w:type="dxa" w:w="1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Severity</w:t>
            </w:r>
          </w:p>
        </w:tc>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Resolution</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Provider marked departing</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Practice manager initiates departure with date and reason</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Informational</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Auto-generate departure checklist</w:t>
            </w:r>
          </w:p>
        </w:tc>
      </w:tr>
      <w:tr>
        <w:tc>
          <w:tcPr>
            <w:tcW w:type="dxa" w:w="2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Departed still listed</w:t>
            </w:r>
          </w:p>
        </w:tc>
        <w:tc>
          <w:tcPr>
            <w:tcW w:type="dxa" w:w="3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Provider no longer at practice but still on website, NPPES, or payer directories</w:t>
            </w:r>
          </w:p>
        </w:tc>
        <w:tc>
          <w:tcPr>
            <w:tcW w:type="dxa" w:w="1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High</w:t>
            </w:r>
          </w:p>
        </w:tc>
        <w:tc>
          <w:tcPr>
            <w:tcW w:type="dxa" w:w="2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Per-system removal tasks with portal links</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Deceased provider</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State board records show provider deceased but website still lists them</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Critical</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Immediate removal from all systems; escalated alert</w:t>
            </w:r>
          </w:p>
        </w:tc>
      </w:tr>
    </w:tbl>
    <w:p>
      <w:pPr>
        <w:spacing w:after="80"/>
      </w:pPr>
    </w:p>
    <w:p>
      <w:pPr>
        <w:pStyle w:val="Heading2"/>
        <w:spacing w:after="160" w:before="280"/>
      </w:pPr>
      <w:r>
        <w:rPr>
          <w:rFonts w:ascii="Arial" w:cs="Arial" w:eastAsia="Arial" w:hAnsi="Arial"/>
          <w:b/>
          <w:bCs/>
          <w:color w:val="2C3E50"/>
          <w:sz w:val="26"/>
          <w:szCs w:val="26"/>
        </w:rPr>
        <w:t xml:space="preserve">2.5 License &amp; Credentialing Signals (9 signals)</w:t>
      </w:r>
    </w:p>
    <w:p>
      <w:pPr>
        <w:spacing w:after="120"/>
        <w:jc w:val="left"/>
      </w:pPr>
      <w:r>
        <w:rPr>
          <w:rFonts w:ascii="Arial" w:cs="Arial" w:eastAsia="Arial" w:hAnsi="Arial"/>
          <w:b w:val="false"/>
          <w:bCs w:val="false"/>
          <w:i w:val="false"/>
          <w:iCs w:val="false"/>
          <w:color w:val="333333"/>
          <w:sz w:val="21"/>
          <w:szCs w:val="21"/>
        </w:rPr>
        <w:t xml:space="preserve">Sourced from state medical board data (TX Medical Board, CA Medical Board) with monthly sync. These signals provide early warning for credentialing risks that could affect a provider’s ability to practice and bill.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200"/>
        <w:gridCol w:w="1200"/>
      </w:tblGrid>
      <w:tr>
        <w:trPr>
          <w:tblHeader/>
        </w:trPr>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Signal</w:t>
            </w:r>
          </w:p>
        </w:tc>
        <w:tc>
          <w:tcPr>
            <w:tcW w:type="dxa" w:w="2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Detection Method</w:t>
            </w:r>
          </w:p>
        </w:tc>
        <w:tc>
          <w:tcPr>
            <w:tcW w:type="dxa" w:w="1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Severity</w:t>
            </w:r>
          </w:p>
        </w:tc>
        <w:tc>
          <w:tcPr>
            <w:tcW w:type="dxa" w:w="1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Escalation</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License expiring (90 days)</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expiration_date within 90 days of current date</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High</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Alert at 90/60/30/14/7 days</w:t>
            </w:r>
          </w:p>
        </w:tc>
      </w:tr>
      <w:tr>
        <w:tc>
          <w:tcPr>
            <w:tcW w:type="dxa" w:w="2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Disciplinary action</w:t>
            </w:r>
          </w:p>
        </w:tc>
        <w:tc>
          <w:tcPr>
            <w:tcW w:type="dxa" w:w="2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Active disciplinary action on state board record</w:t>
            </w:r>
          </w:p>
        </w:tc>
        <w:tc>
          <w:tcPr>
            <w:tcW w:type="dxa" w:w="1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Critical</w:t>
            </w:r>
          </w:p>
        </w:tc>
        <w:tc>
          <w:tcPr>
            <w:tcW w:type="dxa" w:w="1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Immediate admin alert + provider flag</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Suspended license</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License status = SUSPENDED</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Critical</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Immediate: cannot practice or bill</w:t>
            </w:r>
          </w:p>
        </w:tc>
      </w:tr>
      <w:tr>
        <w:tc>
          <w:tcPr>
            <w:tcW w:type="dxa" w:w="2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Revoked license</w:t>
            </w:r>
          </w:p>
        </w:tc>
        <w:tc>
          <w:tcPr>
            <w:tcW w:type="dxa" w:w="2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License status = REVOKED</w:t>
            </w:r>
          </w:p>
        </w:tc>
        <w:tc>
          <w:tcPr>
            <w:tcW w:type="dxa" w:w="1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Critical</w:t>
            </w:r>
          </w:p>
        </w:tc>
        <w:tc>
          <w:tcPr>
            <w:tcW w:type="dxa" w:w="1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Immediate: permanent disqualification</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Cancelled license</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License status = CANCELLED (non-payment or voluntary)</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High</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Alert to renew or confirm departure</w:t>
            </w:r>
          </w:p>
        </w:tc>
      </w:tr>
      <w:tr>
        <w:tc>
          <w:tcPr>
            <w:tcW w:type="dxa" w:w="2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Delinquent license</w:t>
            </w:r>
          </w:p>
        </w:tc>
        <w:tc>
          <w:tcPr>
            <w:tcW w:type="dxa" w:w="2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License renewal overdue; no practice permitted</w:t>
            </w:r>
          </w:p>
        </w:tc>
        <w:tc>
          <w:tcPr>
            <w:tcW w:type="dxa" w:w="1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High</w:t>
            </w:r>
          </w:p>
        </w:tc>
        <w:tc>
          <w:tcPr>
            <w:tcW w:type="dxa" w:w="1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Escalating alerts at 7/14/30 days</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Malpractice judgment</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Malpractice judgment on state board record</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High</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Admin alert + provider profile flag</w:t>
            </w:r>
          </w:p>
        </w:tc>
      </w:tr>
      <w:tr>
        <w:tc>
          <w:tcPr>
            <w:tcW w:type="dxa" w:w="2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Felony conviction</w:t>
            </w:r>
          </w:p>
        </w:tc>
        <w:tc>
          <w:tcPr>
            <w:tcW w:type="dxa" w:w="2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Felony conviction on state board record</w:t>
            </w:r>
          </w:p>
        </w:tc>
        <w:tc>
          <w:tcPr>
            <w:tcW w:type="dxa" w:w="1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Critical</w:t>
            </w:r>
          </w:p>
        </w:tc>
        <w:tc>
          <w:tcPr>
            <w:tcW w:type="dxa" w:w="1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Immediate admin alert</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Voluntary surrender</w:t>
            </w:r>
          </w:p>
        </w:tc>
        <w:tc>
          <w:tcPr>
            <w:tcW w:type="dxa" w:w="2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Provider surrendered license to resolve action</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High</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Confirm departure or monitor resolution</w:t>
            </w:r>
          </w:p>
        </w:tc>
      </w:tr>
    </w:tbl>
    <w:p>
      <w:pPr>
        <w:spacing w:after="80"/>
      </w:pPr>
    </w:p>
    <w:p>
      <w:pPr>
        <w:pStyle w:val="Heading2"/>
        <w:spacing w:after="160" w:before="280"/>
      </w:pPr>
      <w:r>
        <w:rPr>
          <w:rFonts w:ascii="Arial" w:cs="Arial" w:eastAsia="Arial" w:hAnsi="Arial"/>
          <w:b/>
          <w:bCs/>
          <w:color w:val="2C3E50"/>
          <w:sz w:val="26"/>
          <w:szCs w:val="26"/>
        </w:rPr>
        <w:t xml:space="preserve">2.6 Compliance &amp; Regulatory Signals (13 signals)</w:t>
      </w:r>
    </w:p>
    <w:p>
      <w:pPr>
        <w:spacing w:after="120"/>
        <w:jc w:val="left"/>
      </w:pPr>
      <w:r>
        <w:rPr>
          <w:rFonts w:ascii="Arial" w:cs="Arial" w:eastAsia="Arial" w:hAnsi="Arial"/>
          <w:b w:val="false"/>
          <w:bCs w:val="false"/>
          <w:i w:val="false"/>
          <w:iCs w:val="false"/>
          <w:color w:val="333333"/>
          <w:sz w:val="21"/>
          <w:szCs w:val="21"/>
        </w:rPr>
        <w:t xml:space="preserve">Detected by the website compliance scanner during each scan cycle. These signals cover three current state regulations plus future-proof categories for emerging state AI laws. The scanner architecture is designed so adding a new state regulation requires only new scan logic — no changes to the workflow engine, dashboard, or alerting infrastructure.</w:t>
      </w:r>
    </w:p>
    <w:p>
      <w:pPr>
        <w:pStyle w:val="Heading3"/>
        <w:spacing w:after="120" w:before="200"/>
      </w:pPr>
      <w:r>
        <w:rPr>
          <w:rFonts w:ascii="Arial" w:cs="Arial" w:eastAsia="Arial" w:hAnsi="Arial"/>
          <w:b/>
          <w:bCs/>
          <w:color w:val="2E86C1"/>
          <w:sz w:val="22"/>
          <w:szCs w:val="22"/>
        </w:rPr>
        <w:t xml:space="preserve">Current Regulations Scanned</w:t>
      </w:r>
    </w:p>
    <w:p>
      <w:pPr>
        <w:spacing w:after="120"/>
      </w:pPr>
      <w:r>
        <w:rPr>
          <w:rFonts w:ascii="Arial" w:cs="Arial" w:eastAsia="Arial" w:hAnsi="Arial"/>
          <w:b/>
          <w:bCs/>
          <w:color w:val="333333"/>
          <w:sz w:val="21"/>
          <w:szCs w:val="21"/>
        </w:rPr>
        <w:t xml:space="preserve">SB 1188 (California) </w:t>
      </w:r>
      <w:r>
        <w:rPr>
          <w:rFonts w:ascii="Arial" w:cs="Arial" w:eastAsia="Arial" w:hAnsi="Arial"/>
          <w:color w:val="333333"/>
          <w:sz w:val="21"/>
          <w:szCs w:val="21"/>
        </w:rPr>
        <w:t xml:space="preserve">— Health data sovereignty. Prohibits routing patient data to foreign servers, requires data residency disclosures.</w:t>
      </w:r>
    </w:p>
    <w:p>
      <w:pPr>
        <w:spacing w:after="120"/>
      </w:pPr>
      <w:r>
        <w:rPr>
          <w:rFonts w:ascii="Arial" w:cs="Arial" w:eastAsia="Arial" w:hAnsi="Arial"/>
          <w:b/>
          <w:bCs/>
          <w:color w:val="333333"/>
          <w:sz w:val="21"/>
          <w:szCs w:val="21"/>
        </w:rPr>
        <w:t xml:space="preserve">HB 149 (Texas) </w:t>
      </w:r>
      <w:r>
        <w:rPr>
          <w:rFonts w:ascii="Arial" w:cs="Arial" w:eastAsia="Arial" w:hAnsi="Arial"/>
          <w:color w:val="333333"/>
          <w:sz w:val="21"/>
          <w:szCs w:val="21"/>
        </w:rPr>
        <w:t xml:space="preserve">— AI transparency in healthcare. Requires disclosure of AI tools used in patient-facing contexts.</w:t>
      </w:r>
    </w:p>
    <w:p>
      <w:pPr>
        <w:spacing w:after="120"/>
      </w:pPr>
      <w:r>
        <w:rPr>
          <w:rFonts w:ascii="Arial" w:cs="Arial" w:eastAsia="Arial" w:hAnsi="Arial"/>
          <w:b/>
          <w:bCs/>
          <w:color w:val="333333"/>
          <w:sz w:val="21"/>
          <w:szCs w:val="21"/>
        </w:rPr>
        <w:t xml:space="preserve">AB 3030 (California) </w:t>
      </w:r>
      <w:r>
        <w:rPr>
          <w:rFonts w:ascii="Arial" w:cs="Arial" w:eastAsia="Arial" w:hAnsi="Arial"/>
          <w:color w:val="333333"/>
          <w:sz w:val="21"/>
          <w:szCs w:val="21"/>
        </w:rPr>
        <w:t xml:space="preserve">— AI disclosure requirements. Mandates transparency when AI generates patient communications or clinical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2600"/>
        <w:gridCol w:w="1400"/>
      </w:tblGrid>
      <w:tr>
        <w:trPr>
          <w:tblHeader/>
        </w:trPr>
        <w:tc>
          <w:tcPr>
            <w:tcW w:type="dxa" w:w="2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Signal</w:t>
            </w:r>
          </w:p>
        </w:tc>
        <w:tc>
          <w:tcPr>
            <w:tcW w:type="dxa" w:w="1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Regulation</w:t>
            </w:r>
          </w:p>
        </w:tc>
        <w:tc>
          <w:tcPr>
            <w:tcW w:type="dxa" w:w="2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Detection Method</w:t>
            </w:r>
          </w:p>
        </w:tc>
        <w:tc>
          <w:tcPr>
            <w:tcW w:type="dxa" w:w="1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Remediation</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Foreign data routing</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SB 1188</w:t>
            </w:r>
          </w:p>
        </w:tc>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DNS resolution + geo-IP of form endpoints</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Migrate hosting to US-based infrastructure</w:t>
            </w:r>
          </w:p>
        </w:tc>
      </w:tr>
      <w:tr>
        <w:tc>
          <w:tcPr>
            <w:tcW w:type="dxa" w:w="2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Foreign-hosted forms</w:t>
            </w:r>
          </w:p>
        </w:tc>
        <w:tc>
          <w:tcPr>
            <w:tcW w:type="dxa" w:w="1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SB 1188</w:t>
            </w:r>
          </w:p>
        </w:tc>
        <w:tc>
          <w:tcPr>
            <w:tcW w:type="dxa" w:w="26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Form action URL geo-IP analysis</w:t>
            </w:r>
          </w:p>
        </w:tc>
        <w:tc>
          <w:tcPr>
            <w:tcW w:type="dxa" w:w="1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Move patient forms to US-hosted endpoints</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Third-party trackers</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SB 1188</w:t>
            </w:r>
          </w:p>
        </w:tc>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Script source analysis for foreign analytics/tracking</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Remove or replace with US-based alternatives</w:t>
            </w:r>
          </w:p>
        </w:tc>
      </w:tr>
      <w:tr>
        <w:tc>
          <w:tcPr>
            <w:tcW w:type="dxa" w:w="2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Missing privacy policy</w:t>
            </w:r>
          </w:p>
        </w:tc>
        <w:tc>
          <w:tcPr>
            <w:tcW w:type="dxa" w:w="1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SB 1188</w:t>
            </w:r>
          </w:p>
        </w:tc>
        <w:tc>
          <w:tcPr>
            <w:tcW w:type="dxa" w:w="26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Page crawl for /privacy or privacy-related links</w:t>
            </w:r>
          </w:p>
        </w:tc>
        <w:tc>
          <w:tcPr>
            <w:tcW w:type="dxa" w:w="1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Add data residency privacy policy page</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Missing cookie consent</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SB 1188</w:t>
            </w:r>
          </w:p>
        </w:tc>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DOM inspection for cookie consent mechanism</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Implement cookie consent banner</w:t>
            </w:r>
          </w:p>
        </w:tc>
      </w:tr>
      <w:tr>
        <w:tc>
          <w:tcPr>
            <w:tcW w:type="dxa" w:w="2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Undisclosed AI content</w:t>
            </w:r>
          </w:p>
        </w:tc>
        <w:tc>
          <w:tcPr>
            <w:tcW w:type="dxa" w:w="1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HB 149 / AB 3030</w:t>
            </w:r>
          </w:p>
        </w:tc>
        <w:tc>
          <w:tcPr>
            <w:tcW w:type="dxa" w:w="26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Pattern detection for AI-generated text markers</w:t>
            </w:r>
          </w:p>
        </w:tc>
        <w:tc>
          <w:tcPr>
            <w:tcW w:type="dxa" w:w="1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Add AI disclosure notices</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Undisclosed AI chatbot</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HB 149 / AB 3030</w:t>
            </w:r>
          </w:p>
        </w:tc>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DOM inspection for chat widgets without disclosure</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Add AI chatbot disclosure</w:t>
            </w:r>
          </w:p>
        </w:tc>
      </w:tr>
      <w:tr>
        <w:tc>
          <w:tcPr>
            <w:tcW w:type="dxa" w:w="2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Undisclosed AI tools</w:t>
            </w:r>
          </w:p>
        </w:tc>
        <w:tc>
          <w:tcPr>
            <w:tcW w:type="dxa" w:w="1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HB 149 / AB 3030</w:t>
            </w:r>
          </w:p>
        </w:tc>
        <w:tc>
          <w:tcPr>
            <w:tcW w:type="dxa" w:w="26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Script analysis for AI scheduling/triage tools</w:t>
            </w:r>
          </w:p>
        </w:tc>
        <w:tc>
          <w:tcPr>
            <w:tcW w:type="dxa" w:w="1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Add AI tool transparency notice</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Missing AI policy</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HB 149 / AB 3030</w:t>
            </w:r>
          </w:p>
        </w:tc>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Page crawl for AI usage policy page</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Create and publish AI policy page</w:t>
            </w:r>
          </w:p>
        </w:tc>
      </w:tr>
      <w:tr>
        <w:tc>
          <w:tcPr>
            <w:tcW w:type="dxa" w:w="2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Outdated credentials</w:t>
            </w:r>
          </w:p>
        </w:tc>
        <w:tc>
          <w:tcPr>
            <w:tcW w:type="dxa" w:w="1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General</w:t>
            </w:r>
          </w:p>
        </w:tc>
        <w:tc>
          <w:tcPr>
            <w:tcW w:type="dxa" w:w="26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Website credentials vs state board records</w:t>
            </w:r>
          </w:p>
        </w:tc>
        <w:tc>
          <w:tcPr>
            <w:tcW w:type="dxa" w:w="1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Update website provider credentials</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Misleading specialty</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General</w:t>
            </w:r>
          </w:p>
        </w:tc>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Website specialty claims vs board certification</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Correct specialty listings</w:t>
            </w:r>
          </w:p>
        </w:tc>
      </w:tr>
      <w:tr>
        <w:tc>
          <w:tcPr>
            <w:tcW w:type="dxa" w:w="2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Missing disclosures</w:t>
            </w:r>
          </w:p>
        </w:tc>
        <w:tc>
          <w:tcPr>
            <w:tcW w:type="dxa" w:w="1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General</w:t>
            </w:r>
          </w:p>
        </w:tc>
        <w:tc>
          <w:tcPr>
            <w:tcW w:type="dxa" w:w="26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Required practice disclosures absent from website</w:t>
            </w:r>
          </w:p>
        </w:tc>
        <w:tc>
          <w:tcPr>
            <w:tcW w:type="dxa" w:w="1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Add required disclosures</w:t>
            </w:r>
          </w:p>
        </w:tc>
      </w:tr>
      <w:tr>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Certification mismatch</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General</w:t>
            </w:r>
          </w:p>
        </w:tc>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Board certification claims vs actual records</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Correct certification listings</w:t>
            </w:r>
          </w:p>
        </w:tc>
      </w:tr>
    </w:tbl>
    <w:p>
      <w:pPr>
        <w:spacing w:after="80"/>
      </w:pPr>
    </w:p>
    <w:p>
      <w:pPr>
        <w:pStyle w:val="Heading3"/>
        <w:spacing w:after="120" w:before="200"/>
      </w:pPr>
      <w:r>
        <w:rPr>
          <w:rFonts w:ascii="Arial" w:cs="Arial" w:eastAsia="Arial" w:hAnsi="Arial"/>
          <w:b/>
          <w:bCs/>
          <w:color w:val="2E86C1"/>
          <w:sz w:val="22"/>
          <w:szCs w:val="22"/>
        </w:rPr>
        <w:t xml:space="preserve">Future-Proof Regulatory Architecture</w:t>
      </w:r>
    </w:p>
    <w:p>
      <w:pPr>
        <w:spacing w:after="120"/>
        <w:jc w:val="left"/>
      </w:pPr>
      <w:r>
        <w:rPr>
          <w:rFonts w:ascii="Arial" w:cs="Arial" w:eastAsia="Arial" w:hAnsi="Arial"/>
          <w:b w:val="false"/>
          <w:bCs w:val="false"/>
          <w:i w:val="false"/>
          <w:iCs w:val="false"/>
          <w:color w:val="333333"/>
          <w:sz w:val="21"/>
          <w:szCs w:val="21"/>
        </w:rPr>
        <w:t xml:space="preserve">State AI regulation is accelerating. As of early 2026, over 15 states have introduced or passed healthcare AI transparency legislation. The KairoLogic scanner is architected so that adding a new state’s regulation requires only:</w:t>
      </w:r>
    </w:p>
    <w:p>
      <w:pPr>
        <w:spacing w:after="120"/>
      </w:pPr>
      <w:r>
        <w:rPr>
          <w:rFonts w:ascii="Arial" w:cs="Arial" w:eastAsia="Arial" w:hAnsi="Arial"/>
          <w:b/>
          <w:bCs/>
          <w:color w:val="333333"/>
          <w:sz w:val="21"/>
          <w:szCs w:val="21"/>
        </w:rPr>
        <w:t xml:space="preserve">1. </w:t>
      </w:r>
      <w:r>
        <w:rPr>
          <w:rFonts w:ascii="Arial" w:cs="Arial" w:eastAsia="Arial" w:hAnsi="Arial"/>
          <w:color w:val="333333"/>
          <w:sz w:val="21"/>
          <w:szCs w:val="21"/>
        </w:rPr>
        <w:t xml:space="preserve">A new scan rule definition (regulation ID, detection logic, severity, remediation template)</w:t>
      </w:r>
    </w:p>
    <w:p>
      <w:pPr>
        <w:spacing w:after="120"/>
      </w:pPr>
      <w:r>
        <w:rPr>
          <w:rFonts w:ascii="Arial" w:cs="Arial" w:eastAsia="Arial" w:hAnsi="Arial"/>
          <w:b/>
          <w:bCs/>
          <w:color w:val="333333"/>
          <w:sz w:val="21"/>
          <w:szCs w:val="21"/>
        </w:rPr>
        <w:t xml:space="preserve">2. </w:t>
      </w:r>
      <w:r>
        <w:rPr>
          <w:rFonts w:ascii="Arial" w:cs="Arial" w:eastAsia="Arial" w:hAnsi="Arial"/>
          <w:color w:val="333333"/>
          <w:sz w:val="21"/>
          <w:szCs w:val="21"/>
        </w:rPr>
        <w:t xml:space="preserve">A state applicability mapping (which practices fall under this regulation based on their state of operation)</w:t>
      </w:r>
    </w:p>
    <w:p>
      <w:pPr>
        <w:spacing w:after="120"/>
      </w:pPr>
      <w:r>
        <w:rPr>
          <w:rFonts w:ascii="Arial" w:cs="Arial" w:eastAsia="Arial" w:hAnsi="Arial"/>
          <w:b/>
          <w:bCs/>
          <w:color w:val="333333"/>
          <w:sz w:val="21"/>
          <w:szCs w:val="21"/>
        </w:rPr>
        <w:t xml:space="preserve">3. </w:t>
      </w:r>
      <w:r>
        <w:rPr>
          <w:rFonts w:ascii="Arial" w:cs="Arial" w:eastAsia="Arial" w:hAnsi="Arial"/>
          <w:color w:val="333333"/>
          <w:sz w:val="21"/>
          <w:szCs w:val="21"/>
        </w:rPr>
        <w:t xml:space="preserve">A remediation guidance template (attorney-reviewed language for the specific statute)</w:t>
      </w:r>
    </w:p>
    <w:p>
      <w:pPr>
        <w:spacing w:after="120"/>
        <w:jc w:val="left"/>
      </w:pPr>
      <w:r>
        <w:rPr>
          <w:rFonts w:ascii="Arial" w:cs="Arial" w:eastAsia="Arial" w:hAnsi="Arial"/>
          <w:b w:val="false"/>
          <w:bCs w:val="false"/>
          <w:i w:val="false"/>
          <w:iCs w:val="false"/>
          <w:color w:val="333333"/>
          <w:sz w:val="21"/>
          <w:szCs w:val="21"/>
        </w:rPr>
        <w:t xml:space="preserve">No changes are needed to the workflow engine, dashboard UI, alerting system, or audit trail. Newly detected compliance signals automatically flow into Workflow 6 (Compliance Remediation) and appear on the provider or practice dashboard with appropriate status tracking.</w:t>
      </w:r>
    </w:p>
    <w:p>
      <w:pPr>
        <w:pStyle w:val="Heading2"/>
        <w:spacing w:after="160" w:before="280"/>
      </w:pPr>
      <w:r>
        <w:rPr>
          <w:rFonts w:ascii="Arial" w:cs="Arial" w:eastAsia="Arial" w:hAnsi="Arial"/>
          <w:b/>
          <w:bCs/>
          <w:color w:val="2C3E50"/>
          <w:sz w:val="26"/>
          <w:szCs w:val="26"/>
        </w:rPr>
        <w:t xml:space="preserve">2.7 Operational Health Signals (4 signals) — NEW</w:t>
      </w:r>
    </w:p>
    <w:p>
      <w:pPr>
        <w:spacing w:after="120"/>
        <w:jc w:val="left"/>
      </w:pPr>
      <w:r>
        <w:rPr>
          <w:rFonts w:ascii="Arial" w:cs="Arial" w:eastAsia="Arial" w:hAnsi="Arial"/>
          <w:color w:val="333333"/>
          <w:sz w:val="21"/>
          <w:szCs w:val="21"/>
        </w:rPr>
        <w:t xml:space="preserve">Cross-cutting signals that monitor the health and completeness of the platform itself. These ensure the system catches issues that fall outside individual provider-level or payer-level detection — systemic risks, stale processes, federal exclusions, and upcoming credential expirations.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360"/>
        <w:gridCol w:w="1200"/>
        <w:gridCol w:w="2600"/>
      </w:tblGrid>
      <w:tr>
        <w:tc>
          <w:tcPr>
            <w:tcW w:type="dxa" w:w="2200"/>
            <w:shd w:val="clear" w:fill="2C3E50"/>
          </w:tcPr>
          <w:p>
            <w:r>
              <w:rPr>
                <w:rFonts w:ascii="Arial" w:hAnsi="Arial"/>
                <w:b/>
                <w:color w:val="FFFFFF"/>
                <w:sz w:val="18"/>
              </w:rPr>
              <w:t>Signal</w:t>
            </w:r>
          </w:p>
        </w:tc>
        <w:tc>
          <w:tcPr>
            <w:tcW w:type="dxa" w:w="3360"/>
            <w:shd w:val="clear" w:fill="2C3E50"/>
          </w:tcPr>
          <w:p>
            <w:r>
              <w:rPr>
                <w:rFonts w:ascii="Arial" w:hAnsi="Arial"/>
                <w:b/>
                <w:color w:val="FFFFFF"/>
                <w:sz w:val="18"/>
              </w:rPr>
              <w:t>Description</w:t>
            </w:r>
          </w:p>
        </w:tc>
        <w:tc>
          <w:tcPr>
            <w:tcW w:type="dxa" w:w="1200"/>
            <w:shd w:val="clear" w:fill="2C3E50"/>
          </w:tcPr>
          <w:p>
            <w:r>
              <w:rPr>
                <w:rFonts w:ascii="Arial" w:hAnsi="Arial"/>
                <w:b/>
                <w:color w:val="FFFFFF"/>
                <w:sz w:val="18"/>
              </w:rPr>
              <w:t>Severity</w:t>
            </w:r>
          </w:p>
        </w:tc>
        <w:tc>
          <w:tcPr>
            <w:tcW w:type="dxa" w:w="2600"/>
            <w:shd w:val="clear" w:fill="2C3E50"/>
          </w:tcPr>
          <w:p>
            <w:r>
              <w:rPr>
                <w:rFonts w:ascii="Arial" w:hAnsi="Arial"/>
                <w:b/>
                <w:color w:val="FFFFFF"/>
                <w:sz w:val="18"/>
              </w:rPr>
              <w:t>Implementation</w:t>
            </w:r>
          </w:p>
        </w:tc>
      </w:tr>
      <w:tr>
        <w:tc>
          <w:tcPr>
            <w:tcW w:type="dxa" w:w="2200"/>
          </w:tcPr>
          <w:p>
            <w:r>
              <w:rPr>
                <w:rFonts w:ascii="Arial" w:hAnsi="Arial"/>
                <w:b/>
                <w:sz w:val="18"/>
              </w:rPr>
              <w:t>OIG/LEIE Exclusion</w:t>
            </w:r>
          </w:p>
        </w:tc>
        <w:tc>
          <w:tcPr>
            <w:tcW w:type="dxa" w:w="3360"/>
          </w:tcPr>
          <w:p>
            <w:r>
              <w:rPr>
                <w:rFonts w:ascii="Arial" w:hAnsi="Arial"/>
                <w:sz w:val="18"/>
              </w:rPr>
              <w:t>Provider NPI found on the federal OIG exclusion list (LEIE). Excluded providers cannot participate in Medicare/Medicaid. Monthly CSV download cross-referenced against all active practice NPIs.</w:t>
            </w:r>
          </w:p>
        </w:tc>
        <w:tc>
          <w:tcPr>
            <w:tcW w:type="dxa" w:w="1200"/>
          </w:tcPr>
          <w:p>
            <w:r>
              <w:rPr>
                <w:rFonts w:ascii="Arial" w:hAnsi="Arial"/>
                <w:b/>
                <w:color w:val="C0392B"/>
                <w:sz w:val="18"/>
              </w:rPr>
              <w:t>CRITICAL</w:t>
            </w:r>
          </w:p>
        </w:tc>
        <w:tc>
          <w:tcPr>
            <w:tcW w:type="dxa" w:w="2600"/>
          </w:tcPr>
          <w:p>
            <w:r>
              <w:rPr>
                <w:rFonts w:ascii="Arial" w:hAnsi="Arial"/>
                <w:sz w:val="18"/>
              </w:rPr>
              <w:t>Cron: /api/cron/exclusion-check (1st of month). Sets has_license_issue, creates delta event + critical alert.</w:t>
            </w:r>
          </w:p>
        </w:tc>
      </w:tr>
      <w:tr>
        <w:tc>
          <w:tcPr>
            <w:tcW w:type="dxa" w:w="2200"/>
          </w:tcPr>
          <w:p>
            <w:r>
              <w:rPr>
                <w:rFonts w:ascii="Arial" w:hAnsi="Arial"/>
                <w:b/>
                <w:sz w:val="18"/>
              </w:rPr>
              <w:t>License Renewal Countdown</w:t>
            </w:r>
          </w:p>
        </w:tc>
        <w:tc>
          <w:tcPr>
            <w:tcW w:type="dxa" w:w="3360"/>
          </w:tcPr>
          <w:p>
            <w:r>
              <w:rPr>
                <w:rFonts w:ascii="Arial" w:hAnsi="Arial"/>
                <w:sz w:val="18"/>
              </w:rPr>
              <w:t>Tiered alerts at 90, 60, and 30 days before license expiration. Uses expiration_date from provider_licenses (state board bulk data). Expired licenses auto-flag has_license_issue.</w:t>
            </w:r>
          </w:p>
        </w:tc>
        <w:tc>
          <w:tcPr>
            <w:tcW w:type="dxa" w:w="1200"/>
          </w:tcPr>
          <w:p>
            <w:r>
              <w:rPr>
                <w:rFonts w:ascii="Arial" w:hAnsi="Arial"/>
                <w:sz w:val="18"/>
              </w:rPr>
              <w:t>INFO → CRITICAL (tiered)</w:t>
            </w:r>
          </w:p>
        </w:tc>
        <w:tc>
          <w:tcPr>
            <w:tcW w:type="dxa" w:w="2600"/>
          </w:tcPr>
          <w:p>
            <w:r>
              <w:rPr>
                <w:rFonts w:ascii="Arial" w:hAnsi="Arial"/>
                <w:sz w:val="18"/>
              </w:rPr>
              <w:t>Cron: /api/cron/license-renewal (weekly Mondays). Deduplicates alerts per tier per license.</w:t>
            </w:r>
          </w:p>
        </w:tc>
      </w:tr>
      <w:tr>
        <w:tc>
          <w:tcPr>
            <w:tcW w:type="dxa" w:w="2200"/>
          </w:tcPr>
          <w:p>
            <w:r>
              <w:rPr>
                <w:rFonts w:ascii="Arial" w:hAnsi="Arial"/>
                <w:b/>
                <w:sz w:val="18"/>
              </w:rPr>
              <w:t>Stale Workflow Detection</w:t>
            </w:r>
          </w:p>
        </w:tc>
        <w:tc>
          <w:tcPr>
            <w:tcW w:type="dxa" w:w="3360"/>
          </w:tcPr>
          <w:p>
            <w:r>
              <w:rPr>
                <w:rFonts w:ascii="Arial" w:hAnsi="Arial"/>
                <w:sz w:val="18"/>
              </w:rPr>
              <w:t>Health scoring (0–100) for all active workflows. Escalation tiers at 7d (nudge), 14d (warning), 28d (action), 60d (stale). Auto-cancels workflows open &gt;90 days.</w:t>
            </w:r>
          </w:p>
        </w:tc>
        <w:tc>
          <w:tcPr>
            <w:tcW w:type="dxa" w:w="1200"/>
          </w:tcPr>
          <w:p>
            <w:r>
              <w:rPr>
                <w:rFonts w:ascii="Arial" w:hAnsi="Arial"/>
                <w:sz w:val="18"/>
              </w:rPr>
              <w:t>WARNING → ACTION (tiered)</w:t>
            </w:r>
          </w:p>
        </w:tc>
        <w:tc>
          <w:tcPr>
            <w:tcW w:type="dxa" w:w="2600"/>
          </w:tcPr>
          <w:p>
            <w:r>
              <w:rPr>
                <w:rFonts w:ascii="Arial" w:hAnsi="Arial"/>
                <w:sz w:val="18"/>
              </w:rPr>
              <w:t>Cron: /api/cron/stale-workflows (weekly Wednesdays). Uses stale-workflow-manager.ts health scoring.</w:t>
            </w:r>
          </w:p>
        </w:tc>
      </w:tr>
      <w:tr>
        <w:tc>
          <w:tcPr>
            <w:tcW w:type="dxa" w:w="2200"/>
          </w:tcPr>
          <w:p>
            <w:r>
              <w:rPr>
                <w:rFonts w:ascii="Arial" w:hAnsi="Arial"/>
                <w:b/>
                <w:sz w:val="18"/>
              </w:rPr>
              <w:t>Correction Packet Completion</w:t>
            </w:r>
          </w:p>
        </w:tc>
        <w:tc>
          <w:tcPr>
            <w:tcW w:type="dxa" w:w="3360"/>
          </w:tcPr>
          <w:p>
            <w:r>
              <w:rPr>
                <w:rFonts w:ascii="Arial" w:hAnsi="Arial"/>
                <w:sz w:val="18"/>
              </w:rPr>
              <w:t>Tracks whether correction packets resolve after sync cycles. When a practice’s open mismatches drop to zero, the active packet is marked completed. New mismatches create or update current packets with counts.</w:t>
            </w:r>
          </w:p>
        </w:tc>
        <w:tc>
          <w:tcPr>
            <w:tcW w:type="dxa" w:w="1200"/>
          </w:tcPr>
          <w:p>
            <w:r>
              <w:rPr>
                <w:rFonts w:ascii="Arial" w:hAnsi="Arial"/>
                <w:sz w:val="18"/>
              </w:rPr>
              <w:t>N/A (lifecycle)</w:t>
            </w:r>
          </w:p>
        </w:tc>
        <w:tc>
          <w:tcPr>
            <w:tcW w:type="dxa" w:w="2600"/>
          </w:tcPr>
          <w:p>
            <w:r>
              <w:rPr>
                <w:rFonts w:ascii="Arial" w:hAnsi="Arial"/>
                <w:sz w:val="18"/>
              </w:rPr>
              <w:t>Integrated into practice-payer-sync route. Auto-creates, updates, and completes correction_packets per sync cycle.</w:t>
            </w:r>
          </w:p>
        </w:tc>
      </w:tr>
    </w:tbl>
    <w:p>
      <w:pPr>
        <w:pStyle w:val="Heading3"/>
        <w:spacing w:after="120" w:before="200"/>
      </w:pPr>
      <w:r>
        <w:rPr>
          <w:rFonts w:ascii="Arial" w:cs="Arial" w:eastAsia="Arial" w:hAnsi="Arial"/>
          <w:b/>
          <w:bCs/>
          <w:color w:val="2E86C1"/>
          <w:sz w:val="22"/>
          <w:szCs w:val="22"/>
        </w:rPr>
        <w:t xml:space="preserve">Future Operational Signals (Tier B)</w:t>
      </w:r>
    </w:p>
    <w:p>
      <w:pPr>
        <w:spacing w:after="120"/>
        <w:jc w:val="left"/>
      </w:pPr>
      <w:r>
        <w:rPr>
          <w:rFonts w:ascii="Arial" w:cs="Arial" w:eastAsia="Arial" w:hAnsi="Arial"/>
          <w:color w:val="333333"/>
          <w:sz w:val="21"/>
          <w:szCs w:val="21"/>
        </w:rPr>
        <w:t xml:space="preserve">The following signals are planned for future implementation. They require external data source integration but would significantly expand compliance coverage:</w:t>
      </w:r>
    </w:p>
    <w:p>
      <w:pPr>
        <w:spacing w:after="80"/>
      </w:pPr>
      <w:r>
        <w:rPr>
          <w:rFonts w:ascii="Arial" w:hAnsi="Arial"/>
          <w:b/>
          <w:color w:val="333333"/>
          <w:sz w:val="21"/>
        </w:rPr>
        <w:t xml:space="preserve">PECOS enrollment verification: </w:t>
      </w:r>
      <w:r>
        <w:rPr>
          <w:rFonts w:ascii="Arial" w:hAnsi="Arial"/>
          <w:color w:val="333333"/>
          <w:sz w:val="21"/>
        </w:rPr>
        <w:t xml:space="preserve">CMS public PECOS API confirms Medicare enrollment status per provider. Code stubs exist in assessment-engine.ts and departure-engine.ts. Would confirm active Medicare enrollment or flag reassignment/termination.</w:t>
      </w:r>
    </w:p>
    <w:p>
      <w:pPr>
        <w:spacing w:after="80"/>
      </w:pPr>
      <w:r>
        <w:rPr>
          <w:rFonts w:ascii="Arial" w:hAnsi="Arial"/>
          <w:b/>
          <w:color w:val="333333"/>
          <w:sz w:val="21"/>
        </w:rPr>
        <w:t xml:space="preserve">DEA license lookup: </w:t>
      </w:r>
      <w:r>
        <w:rPr>
          <w:rFonts w:ascii="Arial" w:hAnsi="Arial"/>
          <w:color w:val="333333"/>
          <w:sz w:val="21"/>
        </w:rPr>
        <w:t xml:space="preserve">NTIS DEA database cross-reference to flag expired or missing DEA registration for prescribing providers. Required for controlled substance prescribing privileges.</w:t>
      </w:r>
    </w:p>
    <w:p>
      <w:pPr>
        <w:spacing w:after="80"/>
      </w:pPr>
      <w:r>
        <w:rPr>
          <w:rFonts w:ascii="Arial" w:hAnsi="Arial"/>
          <w:b/>
          <w:color w:val="333333"/>
          <w:sz w:val="21"/>
        </w:rPr>
        <w:t xml:space="preserve">Board certification status: </w:t>
      </w:r>
      <w:r>
        <w:rPr>
          <w:rFonts w:ascii="Arial" w:hAnsi="Arial"/>
          <w:color w:val="333333"/>
          <w:sz w:val="21"/>
        </w:rPr>
        <w:t xml:space="preserve">ABMS board certification tracking. Many payers require current board certification for network participation. Would extend provider_licenses table with certification expiry and renewal status.</w:t>
      </w:r>
    </w:p>
    <w:p>
      <w:pPr>
        <w:spacing w:after="80"/>
      </w:pPr>
      <w:r>
        <w:rPr>
          <w:rFonts w:ascii="Arial" w:hAnsi="Arial"/>
          <w:b/>
          <w:color w:val="333333"/>
          <w:sz w:val="21"/>
        </w:rPr>
        <w:t xml:space="preserve">OIG/SAM exclusion list (enhanced): </w:t>
      </w:r>
      <w:r>
        <w:rPr>
          <w:rFonts w:ascii="Arial" w:hAnsi="Arial"/>
          <w:color w:val="333333"/>
          <w:sz w:val="21"/>
        </w:rPr>
        <w:t xml:space="preserve">In addition to LEIE, cross-reference against SAM.gov (System for Award Management) for debarment and exclusion from all federal programs, not only healthcare.</w:t>
      </w:r>
    </w:p>
    <w:p>
      <w:r>
        <w:br w:type="page"/>
      </w:r>
    </w:p>
    <w:p>
      <w:pPr>
        <w:pStyle w:val="Heading1"/>
        <w:spacing w:after="200" w:before="360"/>
      </w:pPr>
      <w:r>
        <w:rPr>
          <w:rFonts w:ascii="Arial" w:cs="Arial" w:eastAsia="Arial" w:hAnsi="Arial"/>
          <w:b/>
          <w:bCs/>
          <w:color w:val="1B4F72"/>
          <w:sz w:val="32"/>
          <w:szCs w:val="32"/>
        </w:rPr>
        <w:t xml:space="preserve">3. Workflow Architecture</w:t>
      </w:r>
    </w:p>
    <w:p>
      <w:pPr>
        <w:spacing w:after="120"/>
        <w:jc w:val="left"/>
      </w:pPr>
      <w:r>
        <w:rPr>
          <w:rFonts w:ascii="Arial" w:cs="Arial" w:eastAsia="Arial" w:hAnsi="Arial"/>
          <w:b w:val="false"/>
          <w:bCs w:val="false"/>
          <w:i w:val="false"/>
          <w:iCs w:val="false"/>
          <w:color w:val="333333"/>
          <w:sz w:val="21"/>
          <w:szCs w:val="21"/>
        </w:rPr>
        <w:t xml:space="preserve">Every signal maps to a workflow. Workflows are the operational backbone of the platform — they transform detected findings into trackable, resolvable action items with built-in monitoring and auto-confirmation. The practice manager never sees raw signals; they see provider-centric action items with clear status, expected timelines, and next steps.</w:t>
      </w:r>
    </w:p>
    <w:p>
      <w:pPr>
        <w:pStyle w:val="Heading2"/>
        <w:spacing w:after="160" w:before="280"/>
      </w:pPr>
      <w:r>
        <w:rPr>
          <w:rFonts w:ascii="Arial" w:cs="Arial" w:eastAsia="Arial" w:hAnsi="Arial"/>
          <w:b/>
          <w:bCs/>
          <w:color w:val="2C3E50"/>
          <w:sz w:val="26"/>
          <w:szCs w:val="26"/>
        </w:rPr>
        <w:t xml:space="preserve">3.1 Universal Workflow Lifecycle</w:t>
      </w:r>
    </w:p>
    <w:p>
      <w:pPr>
        <w:spacing w:after="120"/>
        <w:jc w:val="left"/>
      </w:pPr>
      <w:r>
        <w:rPr>
          <w:rFonts w:ascii="Arial" w:cs="Arial" w:eastAsia="Arial" w:hAnsi="Arial"/>
          <w:b w:val="false"/>
          <w:bCs w:val="false"/>
          <w:i w:val="false"/>
          <w:iCs w:val="false"/>
          <w:color w:val="333333"/>
          <w:sz w:val="21"/>
          <w:szCs w:val="21"/>
        </w:rPr>
        <w:t xml:space="preserve">All six workflow types follow the same lifecycle pattern, ensuring consistent behavior, status language, and audit trail across the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1600"/>
        <w:gridCol w:w="2200"/>
      </w:tblGrid>
      <w:tr>
        <w:trPr>
          <w:tblHeader/>
        </w:trPr>
        <w:tc>
          <w:tcPr>
            <w:tcW w:type="dxa" w:w="1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Stage</w:t>
            </w:r>
          </w:p>
        </w:tc>
        <w:tc>
          <w:tcPr>
            <w:tcW w:type="dxa" w:w="2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System Action</w:t>
            </w:r>
          </w:p>
        </w:tc>
        <w:tc>
          <w:tcPr>
            <w:tcW w:type="dxa" w:w="1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User-Facing Status</w:t>
            </w:r>
          </w:p>
        </w:tc>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ETA Language</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1. Detect</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Signal engine identifies discrepancy from external source scan</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New finding</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“We found something that needs your attention”</w:t>
            </w:r>
          </w:p>
        </w:tc>
      </w:tr>
      <w:tr>
        <w:tc>
          <w:tcPr>
            <w:tcW w:type="dxa" w:w="1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2. Review</w:t>
            </w:r>
          </w:p>
        </w:tc>
        <w:tc>
          <w:tcPr>
            <w:tcW w:type="dxa" w:w="2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Present finding with side-by-side data comparison</w:t>
            </w:r>
          </w:p>
        </w:tc>
        <w:tc>
          <w:tcPr>
            <w:tcW w:type="dxa" w:w="16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Needs review</w:t>
            </w:r>
          </w:p>
        </w:tc>
        <w:tc>
          <w:tcPr>
            <w:tcW w:type="dxa" w:w="2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“Please review and confirm the correct information”</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3. Approve</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Practice manager selects correct value and correction targets</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Approved</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“Your correction has been recorded”</w:t>
            </w:r>
          </w:p>
        </w:tc>
      </w:tr>
      <w:tr>
        <w:tc>
          <w:tcPr>
            <w:tcW w:type="dxa" w:w="1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4. Execute</w:t>
            </w:r>
          </w:p>
        </w:tc>
        <w:tc>
          <w:tcPr>
            <w:tcW w:type="dxa" w:w="2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Generate artifacts (forms, checklists), provide portal links</w:t>
            </w:r>
          </w:p>
        </w:tc>
        <w:tc>
          <w:tcPr>
            <w:tcW w:type="dxa" w:w="16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In progress</w:t>
            </w:r>
          </w:p>
        </w:tc>
        <w:tc>
          <w:tcPr>
            <w:tcW w:type="dxa" w:w="2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“Follow the steps below to submit your correction”</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5. Monitor</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Auto-check external sources on scheduled cadence</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Waiting for confirmation</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“We’re watching for your change to appear (typically 1–3 weeks)”</w:t>
            </w:r>
          </w:p>
        </w:tc>
      </w:tr>
      <w:tr>
        <w:tc>
          <w:tcPr>
            <w:tcW w:type="dxa" w:w="1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6. Confirm</w:t>
            </w:r>
          </w:p>
        </w:tc>
        <w:tc>
          <w:tcPr>
            <w:tcW w:type="dxa" w:w="2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External source reflects corrected data</w:t>
            </w:r>
          </w:p>
        </w:tc>
        <w:tc>
          <w:tcPr>
            <w:tcW w:type="dxa" w:w="16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Confirmed</w:t>
            </w:r>
          </w:p>
        </w:tc>
        <w:tc>
          <w:tcPr>
            <w:tcW w:type="dxa" w:w="2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“Change confirmed in [source] on [date]”</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7. Close</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All correction targets confirmed; workflow archived</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Resolved</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“All systems updated. This issue is resolved.”</w:t>
            </w:r>
          </w:p>
        </w:tc>
      </w:tr>
    </w:tbl>
    <w:p>
      <w:pPr>
        <w:spacing w:after="80"/>
      </w:pPr>
    </w:p>
    <w:p>
      <w:pPr>
        <w:pStyle w:val="Heading2"/>
        <w:spacing w:after="160" w:before="280"/>
      </w:pPr>
      <w:r>
        <w:rPr>
          <w:rFonts w:ascii="Arial" w:cs="Arial" w:eastAsia="Arial" w:hAnsi="Arial"/>
          <w:b/>
          <w:bCs/>
          <w:color w:val="2C3E50"/>
          <w:sz w:val="26"/>
          <w:szCs w:val="26"/>
        </w:rPr>
        <w:t xml:space="preserve">3.2 Signal-to-Workflow Mapping</w:t>
      </w:r>
    </w:p>
    <w:p>
      <w:pPr>
        <w:spacing w:after="120"/>
        <w:jc w:val="left"/>
      </w:pPr>
      <w:r>
        <w:rPr>
          <w:rFonts w:ascii="Arial" w:cs="Arial" w:eastAsia="Arial" w:hAnsi="Arial"/>
          <w:b w:val="false"/>
          <w:bCs w:val="false"/>
          <w:i w:val="false"/>
          <w:iCs w:val="false"/>
          <w:color w:val="333333"/>
          <w:sz w:val="21"/>
          <w:szCs w:val="21"/>
        </w:rPr>
        <w:t xml:space="preserve">Each signal type maps to exactly one workflow type. The workflow determines the correction path, monitoring cadence, and auto-confirmation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000"/>
        <w:gridCol w:w="2000"/>
        <w:gridCol w:w="1200"/>
      </w:tblGrid>
      <w:tr>
        <w:trPr>
          <w:tblHeader/>
        </w:trPr>
        <w:tc>
          <w:tcPr>
            <w:tcW w:type="dxa" w:w="1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Workflow</w:t>
            </w:r>
          </w:p>
        </w:tc>
        <w:tc>
          <w:tcPr>
            <w:tcW w:type="dxa" w:w="1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Trigger Signals</w:t>
            </w:r>
          </w:p>
        </w:tc>
        <w:tc>
          <w:tcPr>
            <w:tcW w:type="dxa" w:w="1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Duration</w:t>
            </w:r>
          </w:p>
        </w:tc>
        <w:tc>
          <w:tcPr>
            <w:tcW w:type="dxa" w:w="2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Key Artifacts</w:t>
            </w:r>
          </w:p>
        </w:tc>
        <w:tc>
          <w:tcPr>
            <w:tcW w:type="dxa" w:w="1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Auto-Confirm Source</w:t>
            </w:r>
          </w:p>
        </w:tc>
      </w:tr>
      <w:tr>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WF1: NPPES Update</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6 signals (address, phone, provider moved, departed, name, specialty)</w:t>
            </w:r>
          </w:p>
        </w:tc>
        <w:tc>
          <w:tcPr>
            <w:tcW w:type="dxa" w:w="1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1–3 weeks</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Pre-filled NPPES correction form (PDF)</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NPPES weekly delta sync</w:t>
            </w:r>
          </w:p>
        </w:tc>
      </w:tr>
      <w:tr>
        <w:tc>
          <w:tcPr>
            <w:tcW w:type="dxa" w:w="1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WF2: Payer Directory</w:t>
            </w:r>
          </w:p>
        </w:tc>
        <w:tc>
          <w:tcPr>
            <w:tcW w:type="dxa" w:w="1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5 signals × 6 payers (not listed, address, phone, specialty, name)</w:t>
            </w:r>
          </w:p>
        </w:tc>
        <w:tc>
          <w:tcPr>
            <w:tcW w:type="dxa" w:w="1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2–12 weeks</w:t>
            </w:r>
          </w:p>
        </w:tc>
        <w:tc>
          <w:tcPr>
            <w:tcW w:type="dxa" w:w="2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CAQH-first correction packet, per-payer checklists</w:t>
            </w:r>
          </w:p>
        </w:tc>
        <w:tc>
          <w:tcPr>
            <w:tcW w:type="dxa" w:w="1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Payer FHIR API re-query</w:t>
            </w:r>
          </w:p>
        </w:tc>
      </w:tr>
      <w:tr>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WF3: Onboarding</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2 signals + dynamic checklist (new provider, pre-existing issues)</w:t>
            </w:r>
          </w:p>
        </w:tc>
        <w:tc>
          <w:tcPr>
            <w:tcW w:type="dxa" w:w="1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8–16 weeks</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Credentialing checklist (CAQH, payer, NPPES, website)</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NPPES, PECOS, payer FHIR, website scan</w:t>
            </w:r>
          </w:p>
        </w:tc>
      </w:tr>
      <w:tr>
        <w:tc>
          <w:tcPr>
            <w:tcW w:type="dxa" w:w="1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WF4: Provider Release</w:t>
            </w:r>
          </w:p>
        </w:tc>
        <w:tc>
          <w:tcPr>
            <w:tcW w:type="dxa" w:w="1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3 signals + checklist (departing, still listed, deceased)</w:t>
            </w:r>
          </w:p>
        </w:tc>
        <w:tc>
          <w:tcPr>
            <w:tcW w:type="dxa" w:w="1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4–12 weeks</w:t>
            </w:r>
          </w:p>
        </w:tc>
        <w:tc>
          <w:tcPr>
            <w:tcW w:type="dxa" w:w="2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Departure checklist with per-system removal tasks</w:t>
            </w:r>
          </w:p>
        </w:tc>
        <w:tc>
          <w:tcPr>
            <w:tcW w:type="dxa" w:w="1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NPPES, payer FHIR, website scan</w:t>
            </w:r>
          </w:p>
        </w:tc>
      </w:tr>
      <w:tr>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WF5: License Renewal</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9 signals (expiring, disciplinary, suspended, revoked, cancelled, delinquent, malpractice, felony, surrender)</w:t>
            </w:r>
          </w:p>
        </w:tc>
        <w:tc>
          <w:tcPr>
            <w:tcW w:type="dxa" w:w="1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Ongoing</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License renewal reminder, escalation alerts</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State board data refresh</w:t>
            </w:r>
          </w:p>
        </w:tc>
      </w:tr>
      <w:tr>
        <w:tc>
          <w:tcPr>
            <w:tcW w:type="dxa" w:w="1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WF6: Compliance</w:t>
            </w:r>
          </w:p>
        </w:tc>
        <w:tc>
          <w:tcPr>
            <w:tcW w:type="dxa" w:w="1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13 signals (data sovereignty, AI transparency, credential accuracy)</w:t>
            </w:r>
          </w:p>
        </w:tc>
        <w:tc>
          <w:tcPr>
            <w:tcW w:type="dxa" w:w="1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1–4 weeks</w:t>
            </w:r>
          </w:p>
        </w:tc>
        <w:tc>
          <w:tcPr>
            <w:tcW w:type="dxa" w:w="2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AI disclosure template, privacy policy template, remediation guide</w:t>
            </w:r>
          </w:p>
        </w:tc>
        <w:tc>
          <w:tcPr>
            <w:tcW w:type="dxa" w:w="1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Website re-scan on next cycle</w:t>
            </w:r>
          </w:p>
        </w:tc>
      </w:tr>
    </w:tbl>
    <w:p>
      <w:pPr>
        <w:spacing w:after="80"/>
      </w:pPr>
    </w:p>
    <w:p>
      <w:pPr>
        <w:pStyle w:val="Heading2"/>
        <w:spacing w:after="160" w:before="280"/>
      </w:pPr>
      <w:r>
        <w:rPr>
          <w:rFonts w:ascii="Arial" w:cs="Arial" w:eastAsia="Arial" w:hAnsi="Arial"/>
          <w:b/>
          <w:bCs/>
          <w:color w:val="2C3E50"/>
          <w:sz w:val="26"/>
          <w:szCs w:val="26"/>
        </w:rPr>
        <w:t xml:space="preserve">3.3 Unified Correction Model</w:t>
      </w:r>
    </w:p>
    <w:p>
      <w:pPr>
        <w:spacing w:after="120"/>
        <w:jc w:val="left"/>
      </w:pPr>
      <w:r>
        <w:rPr>
          <w:rFonts w:ascii="Arial" w:cs="Arial" w:eastAsia="Arial" w:hAnsi="Arial"/>
          <w:b w:val="false"/>
          <w:bCs w:val="false"/>
          <w:i w:val="false"/>
          <w:iCs w:val="false"/>
          <w:color w:val="333333"/>
          <w:sz w:val="21"/>
          <w:szCs w:val="21"/>
        </w:rPr>
        <w:t xml:space="preserve">The platform uses a unified correction model that eliminates redundant work. When a provider has the same field mismatched across multiple systems (e.g., address wrong in NPPES, UHC, and Cigna), the practice manager approves the correct value once and selects which systems to correct. The system then fans out to per-system tasks, each confirming independently.</w:t>
      </w:r>
    </w:p>
    <w:p>
      <w:pPr>
        <w:pStyle w:val="Heading3"/>
        <w:spacing w:after="120" w:before="200"/>
      </w:pPr>
      <w:r>
        <w:rPr>
          <w:rFonts w:ascii="Arial" w:cs="Arial" w:eastAsia="Arial" w:hAnsi="Arial"/>
          <w:b/>
          <w:bCs/>
          <w:color w:val="2E86C1"/>
          <w:sz w:val="22"/>
          <w:szCs w:val="22"/>
        </w:rPr>
        <w:t xml:space="preserve">CAQH-First Optimization</w:t>
      </w:r>
    </w:p>
    <w:p>
      <w:pPr>
        <w:spacing w:after="120"/>
        <w:jc w:val="left"/>
      </w:pPr>
      <w:r>
        <w:rPr>
          <w:rFonts w:ascii="Arial" w:cs="Arial" w:eastAsia="Arial" w:hAnsi="Arial"/>
          <w:b w:val="false"/>
          <w:bCs w:val="false"/>
          <w:i w:val="false"/>
          <w:iCs w:val="false"/>
          <w:color w:val="333333"/>
          <w:sz w:val="21"/>
          <w:szCs w:val="21"/>
        </w:rPr>
        <w:t xml:space="preserve">The system knows which payers pull their directory data from CAQH ProView. When a mismatch exists in a CAQH-downstream payer (UHC, Aetna), the platform tells the practice manager: “Updating CAQH will fix this in 3 directories automatically.” This reduces a multi-payer correction from 4 separate tasks to 1 CAQH update + monitoring.</w:t>
      </w:r>
    </w:p>
    <w:p>
      <w:pPr>
        <w:pStyle w:val="Heading3"/>
        <w:spacing w:after="120" w:before="200"/>
      </w:pPr>
      <w:r>
        <w:rPr>
          <w:rFonts w:ascii="Arial" w:cs="Arial" w:eastAsia="Arial" w:hAnsi="Arial"/>
          <w:b/>
          <w:bCs/>
          <w:color w:val="2E86C1"/>
          <w:sz w:val="22"/>
          <w:szCs w:val="22"/>
        </w:rPr>
        <w:t xml:space="preserve">Correction Task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3400"/>
        <w:gridCol w:w="1400"/>
      </w:tblGrid>
      <w:tr>
        <w:trPr>
          <w:tblHeader/>
        </w:trPr>
        <w:tc>
          <w:tcPr>
            <w:tcW w:type="dxa" w:w="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Step</w:t>
            </w:r>
          </w:p>
        </w:tc>
        <w:tc>
          <w:tcPr>
            <w:tcW w:type="dxa" w:w="1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Task Type</w:t>
            </w:r>
          </w:p>
        </w:tc>
        <w:tc>
          <w:tcPr>
            <w:tcW w:type="dxa" w:w="3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c>
          <w:tcPr>
            <w:tcW w:type="dxa" w:w="1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Dependency</w:t>
            </w:r>
          </w:p>
        </w:tc>
      </w:tr>
      <w:tr>
        <w:tc>
          <w:tcPr>
            <w:tcW w:type="dxa" w:w="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1</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Review sources</w:t>
            </w:r>
          </w:p>
        </w:tc>
        <w:tc>
          <w:tcPr>
            <w:tcW w:type="dxa" w:w="3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See all sources side-by-side, select the correct value</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None</w:t>
            </w:r>
          </w:p>
        </w:tc>
      </w:tr>
      <w:tr>
        <w:tc>
          <w:tcPr>
            <w:tcW w:type="dxa" w:w="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2</w:t>
            </w:r>
          </w:p>
        </w:tc>
        <w:tc>
          <w:tcPr>
            <w:tcW w:type="dxa" w:w="1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Select targets</w:t>
            </w:r>
          </w:p>
        </w:tc>
        <w:tc>
          <w:tcPr>
            <w:tcW w:type="dxa" w:w="3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Check which systems need correction (NPPES, CAQH, payers, website)</w:t>
            </w:r>
          </w:p>
        </w:tc>
        <w:tc>
          <w:tcPr>
            <w:tcW w:type="dxa" w:w="1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Step 1</w:t>
            </w:r>
          </w:p>
        </w:tc>
      </w:tr>
      <w:tr>
        <w:tc>
          <w:tcPr>
            <w:tcW w:type="dxa" w:w="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3a</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Correct NPPES</w:t>
            </w:r>
          </w:p>
        </w:tc>
        <w:tc>
          <w:tcPr>
            <w:tcW w:type="dxa" w:w="3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Download pre-filled form, submit to NPPES portal</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Step 2 (if selected)</w:t>
            </w:r>
          </w:p>
        </w:tc>
      </w:tr>
      <w:tr>
        <w:tc>
          <w:tcPr>
            <w:tcW w:type="dxa" w:w="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3b</w:t>
            </w:r>
          </w:p>
        </w:tc>
        <w:tc>
          <w:tcPr>
            <w:tcW w:type="dxa" w:w="1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Correct CAQH</w:t>
            </w:r>
          </w:p>
        </w:tc>
        <w:tc>
          <w:tcPr>
            <w:tcW w:type="dxa" w:w="3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Update CAQH ProView (auto-propagates to UHC, Aetna)</w:t>
            </w:r>
          </w:p>
        </w:tc>
        <w:tc>
          <w:tcPr>
            <w:tcW w:type="dxa" w:w="1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Step 2 (if selected)</w:t>
            </w:r>
          </w:p>
        </w:tc>
      </w:tr>
      <w:tr>
        <w:tc>
          <w:tcPr>
            <w:tcW w:type="dxa" w:w="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3c</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Correct payer direct</w:t>
            </w:r>
          </w:p>
        </w:tc>
        <w:tc>
          <w:tcPr>
            <w:tcW w:type="dxa" w:w="3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Contact payer directly (one task per payer)</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Step 2 (if selected)</w:t>
            </w:r>
          </w:p>
        </w:tc>
      </w:tr>
      <w:tr>
        <w:tc>
          <w:tcPr>
            <w:tcW w:type="dxa" w:w="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3d</w:t>
            </w:r>
          </w:p>
        </w:tc>
        <w:tc>
          <w:tcPr>
            <w:tcW w:type="dxa" w:w="1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Correct website</w:t>
            </w:r>
          </w:p>
        </w:tc>
        <w:tc>
          <w:tcPr>
            <w:tcW w:type="dxa" w:w="3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Update practice website listing</w:t>
            </w:r>
          </w:p>
        </w:tc>
        <w:tc>
          <w:tcPr>
            <w:tcW w:type="dxa" w:w="1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Step 2 (if selected)</w:t>
            </w:r>
          </w:p>
        </w:tc>
      </w:tr>
      <w:tr>
        <w:tc>
          <w:tcPr>
            <w:tcW w:type="dxa" w:w="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4</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Monitor per target</w:t>
            </w:r>
          </w:p>
        </w:tc>
        <w:tc>
          <w:tcPr>
            <w:tcW w:type="dxa" w:w="3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Auto-confirm independently per target system</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Per 3a–3d</w:t>
            </w:r>
          </w:p>
        </w:tc>
      </w:tr>
    </w:tbl>
    <w:p>
      <w:r>
        <w:br w:type="page"/>
      </w:r>
    </w:p>
    <w:p>
      <w:pPr>
        <w:pStyle w:val="Heading1"/>
        <w:spacing w:after="200" w:before="360"/>
      </w:pPr>
      <w:r>
        <w:rPr>
          <w:rFonts w:ascii="Arial" w:cs="Arial" w:eastAsia="Arial" w:hAnsi="Arial"/>
          <w:b/>
          <w:bCs/>
          <w:color w:val="1B4F72"/>
          <w:sz w:val="32"/>
          <w:szCs w:val="32"/>
        </w:rPr>
        <w:t xml:space="preserve">4. Provider-Centric Dashboard Architecture</w:t>
      </w:r>
    </w:p>
    <w:p>
      <w:pPr>
        <w:spacing w:after="120"/>
        <w:jc w:val="left"/>
      </w:pPr>
      <w:r>
        <w:rPr>
          <w:rFonts w:ascii="Arial" w:cs="Arial" w:eastAsia="Arial" w:hAnsi="Arial"/>
          <w:b w:val="false"/>
          <w:bCs w:val="false"/>
          <w:i w:val="false"/>
          <w:iCs w:val="false"/>
          <w:color w:val="333333"/>
          <w:sz w:val="21"/>
          <w:szCs w:val="21"/>
        </w:rPr>
        <w:t xml:space="preserve">The dashboard is organized around providers, not workflows. The practice manager thinks “3 providers need attention,” not “23 workflows need attention.” Every view links back to the Provider Detail slide-over panel, which serves as the hub for all provider-related information and actions.</w:t>
      </w:r>
    </w:p>
    <w:p>
      <w:pPr>
        <w:pStyle w:val="Heading2"/>
        <w:spacing w:after="160" w:before="280"/>
      </w:pPr>
      <w:r>
        <w:rPr>
          <w:rFonts w:ascii="Arial" w:cs="Arial" w:eastAsia="Arial" w:hAnsi="Arial"/>
          <w:b/>
          <w:bCs/>
          <w:color w:val="2C3E50"/>
          <w:sz w:val="26"/>
          <w:szCs w:val="26"/>
        </w:rPr>
        <w:t xml:space="preserve">4.1 Navigation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1600"/>
      </w:tblGrid>
      <w:tr>
        <w:trPr>
          <w:tblHeader/>
        </w:trPr>
        <w:tc>
          <w:tcPr>
            <w:tcW w:type="dxa" w:w="1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Nav Item</w:t>
            </w:r>
          </w:p>
        </w:tc>
        <w:tc>
          <w:tcPr>
            <w:tcW w:type="dxa" w:w="4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Purpose</w:t>
            </w:r>
          </w:p>
        </w:tc>
        <w:tc>
          <w:tcPr>
            <w:tcW w:type="dxa" w:w="1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Status</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Dashboard Home</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Top providers by urgency, practice KPIs, compliance score</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Redesigned (provider-priority)</w:t>
            </w:r>
          </w:p>
        </w:tc>
      </w:tr>
      <w:tr>
        <w:tc>
          <w:tcPr>
            <w:tcW w:type="dxa" w:w="1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Provider Roster</w:t>
            </w:r>
          </w:p>
        </w:tc>
        <w:tc>
          <w:tcPr>
            <w:tcW w:type="dxa" w:w="4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Table with health score, issue count, click to open detail</w:t>
            </w:r>
          </w:p>
        </w:tc>
        <w:tc>
          <w:tcPr>
            <w:tcW w:type="dxa" w:w="16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Enhanced</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Alerts</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Grouped by new/earlier, links to provider detail</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Minimal change</w:t>
            </w:r>
          </w:p>
        </w:tc>
      </w:tr>
      <w:tr>
        <w:tc>
          <w:tcPr>
            <w:tcW w:type="dxa" w:w="1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Documents</w:t>
            </w:r>
          </w:p>
        </w:tc>
        <w:tc>
          <w:tcPr>
            <w:tcW w:type="dxa" w:w="4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Generated PDFs, correction forms, checklists</w:t>
            </w:r>
          </w:p>
        </w:tc>
        <w:tc>
          <w:tcPr>
            <w:tcW w:type="dxa" w:w="16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No change</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Payer Directories</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All providers × all payers comparison grid</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New view</w:t>
            </w:r>
          </w:p>
        </w:tc>
      </w:tr>
      <w:tr>
        <w:tc>
          <w:tcPr>
            <w:tcW w:type="dxa" w:w="1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Compliance</w:t>
            </w:r>
          </w:p>
        </w:tc>
        <w:tc>
          <w:tcPr>
            <w:tcW w:type="dxa" w:w="4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SB 1188, HB 149, AB 3030 website scan results</w:t>
            </w:r>
          </w:p>
        </w:tc>
        <w:tc>
          <w:tcPr>
            <w:tcW w:type="dxa" w:w="16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Narrowed (website only)</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Audit Trail</w:t>
            </w:r>
          </w:p>
        </w:tc>
        <w:tc>
          <w:tcPr>
            <w:tcW w:type="dxa" w:w="4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Practice-wide event log, filterable by provider/type/date</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New</w:t>
            </w:r>
          </w:p>
        </w:tc>
      </w:tr>
      <w:tr>
        <w:tc>
          <w:tcPr>
            <w:tcW w:type="dxa" w:w="1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Settings</w:t>
            </w:r>
          </w:p>
        </w:tc>
        <w:tc>
          <w:tcPr>
            <w:tcW w:type="dxa" w:w="4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Team, billing, practice info (6 tabs)</w:t>
            </w:r>
          </w:p>
        </w:tc>
        <w:tc>
          <w:tcPr>
            <w:tcW w:type="dxa" w:w="16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No change</w:t>
            </w:r>
          </w:p>
        </w:tc>
      </w:tr>
    </w:tbl>
    <w:p>
      <w:pPr>
        <w:spacing w:after="80"/>
      </w:pPr>
    </w:p>
    <w:p>
      <w:pPr>
        <w:pStyle w:val="Heading2"/>
        <w:spacing w:after="160" w:before="280"/>
      </w:pPr>
      <w:r>
        <w:rPr>
          <w:rFonts w:ascii="Arial" w:cs="Arial" w:eastAsia="Arial" w:hAnsi="Arial"/>
          <w:b/>
          <w:bCs/>
          <w:color w:val="2C3E50"/>
          <w:sz w:val="26"/>
          <w:szCs w:val="26"/>
        </w:rPr>
        <w:t xml:space="preserve">4.2 Dashboard Home KPIs</w:t>
      </w:r>
    </w:p>
    <w:p>
      <w:pPr>
        <w:spacing w:after="120"/>
        <w:jc w:val="left"/>
      </w:pPr>
      <w:r>
        <w:rPr>
          <w:rFonts w:ascii="Arial" w:cs="Arial" w:eastAsia="Arial" w:hAnsi="Arial"/>
          <w:b w:val="false"/>
          <w:bCs w:val="false"/>
          <w:i w:val="false"/>
          <w:iCs w:val="false"/>
          <w:color w:val="333333"/>
          <w:sz w:val="21"/>
          <w:szCs w:val="21"/>
        </w:rPr>
        <w:t xml:space="preserve">The dashboard home provides a 5-second assessment of practice health through four KPI 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2600"/>
        <w:gridCol w:w="1800"/>
      </w:tblGrid>
      <w:tr>
        <w:trPr>
          <w:tblHeader/>
        </w:trPr>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KPI</w:t>
            </w:r>
          </w:p>
        </w:tc>
        <w:tc>
          <w:tcPr>
            <w:tcW w:type="dxa" w:w="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Color</w:t>
            </w:r>
          </w:p>
        </w:tc>
        <w:tc>
          <w:tcPr>
            <w:tcW w:type="dxa" w:w="2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Definition</w:t>
            </w:r>
          </w:p>
        </w:tc>
        <w:tc>
          <w:tcPr>
            <w:tcW w:type="dxa" w:w="1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Calculation</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Providers needing attention</w:t>
            </w:r>
          </w:p>
        </w:tc>
        <w:tc>
          <w:tcPr>
            <w:tcW w:type="dxa" w:w="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Red</w:t>
            </w:r>
          </w:p>
        </w:tc>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At least one unresolved action item</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COUNT(providers WHERE action_count &gt; 0)</w:t>
            </w:r>
          </w:p>
        </w:tc>
      </w:tr>
      <w:tr>
        <w:tc>
          <w:tcPr>
            <w:tcW w:type="dxa" w:w="2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Providers in progress</w:t>
            </w:r>
          </w:p>
        </w:tc>
        <w:tc>
          <w:tcPr>
            <w:tcW w:type="dxa" w:w="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Gold</w:t>
            </w:r>
          </w:p>
        </w:tc>
        <w:tc>
          <w:tcPr>
            <w:tcW w:type="dxa" w:w="26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Corrections submitted, awaiting confirmation</w:t>
            </w:r>
          </w:p>
        </w:tc>
        <w:tc>
          <w:tcPr>
            <w:tcW w:type="dxa" w:w="1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COUNT(providers WHERE status = in_progress)</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Providers healthy</w:t>
            </w:r>
          </w:p>
        </w:tc>
        <w:tc>
          <w:tcPr>
            <w:tcW w:type="dxa" w:w="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Green</w:t>
            </w:r>
          </w:p>
        </w:tc>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All data sources agree, license current</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COUNT(providers WHERE health_score = 100)</w:t>
            </w:r>
          </w:p>
        </w:tc>
      </w:tr>
      <w:tr>
        <w:tc>
          <w:tcPr>
            <w:tcW w:type="dxa" w:w="2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Practice compliance score</w:t>
            </w:r>
          </w:p>
        </w:tc>
        <w:tc>
          <w:tcPr>
            <w:tcW w:type="dxa" w:w="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Blue</w:t>
            </w:r>
          </w:p>
        </w:tc>
        <w:tc>
          <w:tcPr>
            <w:tcW w:type="dxa" w:w="26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Website compliance percentage across all scans</w:t>
            </w:r>
          </w:p>
        </w:tc>
        <w:tc>
          <w:tcPr>
            <w:tcW w:type="dxa" w:w="1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AVG(compliance_pass_rate) across all checks</w:t>
            </w:r>
          </w:p>
        </w:tc>
      </w:tr>
    </w:tbl>
    <w:p>
      <w:pPr>
        <w:spacing w:after="80"/>
      </w:pPr>
    </w:p>
    <w:p>
      <w:pPr>
        <w:pStyle w:val="Heading2"/>
        <w:spacing w:after="160" w:before="280"/>
      </w:pPr>
      <w:r>
        <w:rPr>
          <w:rFonts w:ascii="Arial" w:cs="Arial" w:eastAsia="Arial" w:hAnsi="Arial"/>
          <w:b/>
          <w:bCs/>
          <w:color w:val="2C3E50"/>
          <w:sz w:val="26"/>
          <w:szCs w:val="26"/>
        </w:rPr>
        <w:t xml:space="preserve">4.3 Provider Health Score</w:t>
      </w:r>
    </w:p>
    <w:p>
      <w:pPr>
        <w:spacing w:after="120"/>
        <w:jc w:val="left"/>
      </w:pPr>
      <w:r>
        <w:rPr>
          <w:rFonts w:ascii="Arial" w:cs="Arial" w:eastAsia="Arial" w:hAnsi="Arial"/>
          <w:b w:val="false"/>
          <w:bCs w:val="false"/>
          <w:i w:val="false"/>
          <w:iCs w:val="false"/>
          <w:color w:val="333333"/>
          <w:sz w:val="21"/>
          <w:szCs w:val="21"/>
        </w:rPr>
        <w:t xml:space="preserve">Each provider has a computed health score (0–100) that auto-updates as issues are detected and resolved. The score drives sorting on the dashboard home and provider roster.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2600"/>
      </w:tblGrid>
      <w:tr>
        <w:trPr>
          <w:tblHeader/>
        </w:trPr>
        <w:tc>
          <w:tcPr>
            <w:tcW w:type="dxa" w:w="3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Deduction</w:t>
            </w:r>
          </w:p>
        </w:tc>
        <w:tc>
          <w:tcPr>
            <w:tcW w:type="dxa" w:w="1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Points</w:t>
            </w:r>
          </w:p>
        </w:tc>
        <w:tc>
          <w:tcPr>
            <w:tcW w:type="dxa" w:w="2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Trigger</w:t>
            </w:r>
          </w:p>
        </w:tc>
      </w:tr>
      <w:tr>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Data field mismatch</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-15 per field</w:t>
            </w:r>
          </w:p>
        </w:tc>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Address, phone, name, or specialty mismatch across any source</w:t>
            </w:r>
          </w:p>
        </w:tc>
      </w:tr>
      <w:tr>
        <w:tc>
          <w:tcPr>
            <w:tcW w:type="dxa" w:w="3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License issue</w:t>
            </w:r>
          </w:p>
        </w:tc>
        <w:tc>
          <w:tcPr>
            <w:tcW w:type="dxa" w:w="16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-25</w:t>
            </w:r>
          </w:p>
        </w:tc>
        <w:tc>
          <w:tcPr>
            <w:tcW w:type="dxa" w:w="26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License expiring within 90 days, disciplinary action, suspended</w:t>
            </w:r>
          </w:p>
        </w:tc>
      </w:tr>
      <w:tr>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Not listed in payer directory</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-10 per payer</w:t>
            </w:r>
          </w:p>
        </w:tc>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Provider not found in a payer FHIR directory</w:t>
            </w:r>
          </w:p>
        </w:tc>
      </w:tr>
      <w:tr>
        <w:tc>
          <w:tcPr>
            <w:tcW w:type="dxa" w:w="3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CAQH re-attestation overdue</w:t>
            </w:r>
          </w:p>
        </w:tc>
        <w:tc>
          <w:tcPr>
            <w:tcW w:type="dxa" w:w="16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-20</w:t>
            </w:r>
          </w:p>
        </w:tc>
        <w:tc>
          <w:tcPr>
            <w:tcW w:type="dxa" w:w="26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CAQH attestation past due date</w:t>
            </w:r>
          </w:p>
        </w:tc>
      </w:tr>
      <w:tr>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Floor</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0 minimum</w:t>
            </w:r>
          </w:p>
        </w:tc>
        <w:tc>
          <w:tcPr>
            <w:tcW w:type="dxa" w:w="2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Score cannot go below 0</w:t>
            </w:r>
          </w:p>
        </w:tc>
      </w:tr>
    </w:tbl>
    <w:p>
      <w:r>
        <w:br w:type="page"/>
      </w:r>
    </w:p>
    <w:p>
      <w:pPr>
        <w:pStyle w:val="Heading1"/>
        <w:spacing w:after="200" w:before="360"/>
      </w:pPr>
      <w:r>
        <w:rPr>
          <w:rFonts w:ascii="Arial" w:cs="Arial" w:eastAsia="Arial" w:hAnsi="Arial"/>
          <w:b/>
          <w:bCs/>
          <w:color w:val="1B4F72"/>
          <w:sz w:val="32"/>
          <w:szCs w:val="32"/>
        </w:rPr>
        <w:t xml:space="preserve">5. Admin Alerting &amp; Error Resolution</w:t>
      </w:r>
    </w:p>
    <w:p>
      <w:pPr>
        <w:spacing w:after="120"/>
        <w:jc w:val="left"/>
      </w:pPr>
      <w:r>
        <w:rPr>
          <w:rFonts w:ascii="Arial" w:cs="Arial" w:eastAsia="Arial" w:hAnsi="Arial"/>
          <w:b w:val="false"/>
          <w:bCs w:val="false"/>
          <w:i w:val="false"/>
          <w:iCs w:val="false"/>
          <w:color w:val="333333"/>
          <w:sz w:val="21"/>
          <w:szCs w:val="21"/>
        </w:rPr>
        <w:t xml:space="preserve">The platform maintains two alerting layers: practice-facing alerts (visible to practice managers in the dashboard) and admin-facing alerts (visible to the KairoLogic operations team). Both layers trigger immediately upon detection and include escalation paths.</w:t>
      </w:r>
    </w:p>
    <w:p>
      <w:pPr>
        <w:pStyle w:val="Heading2"/>
        <w:spacing w:after="160" w:before="280"/>
      </w:pPr>
      <w:r>
        <w:rPr>
          <w:rFonts w:ascii="Arial" w:cs="Arial" w:eastAsia="Arial" w:hAnsi="Arial"/>
          <w:b/>
          <w:bCs/>
          <w:color w:val="2C3E50"/>
          <w:sz w:val="26"/>
          <w:szCs w:val="26"/>
        </w:rPr>
        <w:t xml:space="preserve">5.1 Practice-Facing Alerts</w:t>
      </w:r>
    </w:p>
    <w:p>
      <w:pPr>
        <w:spacing w:after="120"/>
        <w:jc w:val="left"/>
      </w:pPr>
      <w:r>
        <w:rPr>
          <w:rFonts w:ascii="Arial" w:cs="Arial" w:eastAsia="Arial" w:hAnsi="Arial"/>
          <w:b w:val="false"/>
          <w:bCs w:val="false"/>
          <w:i w:val="false"/>
          <w:iCs w:val="false"/>
          <w:color w:val="333333"/>
          <w:sz w:val="21"/>
          <w:szCs w:val="21"/>
        </w:rPr>
        <w:t xml:space="preserve">These appear in the Alerts nav section of the practice dashboard and are grouped by new versus previously seen: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200"/>
        <w:gridCol w:w="1400"/>
      </w:tblGrid>
      <w:tr>
        <w:trPr>
          <w:tblHeader/>
        </w:trPr>
        <w:tc>
          <w:tcPr>
            <w:tcW w:type="dxa" w:w="1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Alert Type</w:t>
            </w:r>
          </w:p>
        </w:tc>
        <w:tc>
          <w:tcPr>
            <w:tcW w:type="dxa" w:w="2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Trigger</w:t>
            </w:r>
          </w:p>
        </w:tc>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Links To</w:t>
            </w:r>
          </w:p>
        </w:tc>
        <w:tc>
          <w:tcPr>
            <w:tcW w:type="dxa" w:w="1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Escalation</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Data mismatch detected</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New mismatch found during scan/sync</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Provider detail → data accuracy</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7d reminder, 14d email, 30d escalate</w:t>
            </w:r>
          </w:p>
        </w:tc>
      </w:tr>
      <w:tr>
        <w:tc>
          <w:tcPr>
            <w:tcW w:type="dxa" w:w="1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License expiring</w:t>
            </w:r>
          </w:p>
        </w:tc>
        <w:tc>
          <w:tcPr>
            <w:tcW w:type="dxa" w:w="2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License within 90 days of expiration</w:t>
            </w:r>
          </w:p>
        </w:tc>
        <w:tc>
          <w:tcPr>
            <w:tcW w:type="dxa" w:w="2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Provider detail → license section</w:t>
            </w:r>
          </w:p>
        </w:tc>
        <w:tc>
          <w:tcPr>
            <w:tcW w:type="dxa" w:w="1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90/60/30/14/7 day alerts</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Correction confirmed</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External source reflects corrected data</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Provider detail → timeline</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None (positive confirmation)</w:t>
            </w:r>
          </w:p>
        </w:tc>
      </w:tr>
      <w:tr>
        <w:tc>
          <w:tcPr>
            <w:tcW w:type="dxa" w:w="1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NPPES staleness</w:t>
            </w:r>
          </w:p>
        </w:tc>
        <w:tc>
          <w:tcPr>
            <w:tcW w:type="dxa" w:w="2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14/28/45 day escalation if NPPES unchanged</w:t>
            </w:r>
          </w:p>
        </w:tc>
        <w:tc>
          <w:tcPr>
            <w:tcW w:type="dxa" w:w="2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Provider detail → action items</w:t>
            </w:r>
          </w:p>
        </w:tc>
        <w:tc>
          <w:tcPr>
            <w:tcW w:type="dxa" w:w="1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Progressive urgency increase</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Provider not listed</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Provider missing from payer directory</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Provider detail → data accuracy</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7d reminder, then weekly</w:t>
            </w:r>
          </w:p>
        </w:tc>
      </w:tr>
      <w:tr>
        <w:tc>
          <w:tcPr>
            <w:tcW w:type="dxa" w:w="1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Compliance finding</w:t>
            </w:r>
          </w:p>
        </w:tc>
        <w:tc>
          <w:tcPr>
            <w:tcW w:type="dxa" w:w="2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Website scan detects regulatory issue</w:t>
            </w:r>
          </w:p>
        </w:tc>
        <w:tc>
          <w:tcPr>
            <w:tcW w:type="dxa" w:w="2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Compliance section</w:t>
            </w:r>
          </w:p>
        </w:tc>
        <w:tc>
          <w:tcPr>
            <w:tcW w:type="dxa" w:w="1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30d escalate if unresolved</w:t>
            </w:r>
          </w:p>
        </w:tc>
      </w:tr>
    </w:tbl>
    <w:p>
      <w:pPr>
        <w:spacing w:after="80"/>
      </w:pPr>
    </w:p>
    <w:p>
      <w:pPr>
        <w:pStyle w:val="Heading2"/>
        <w:spacing w:after="160" w:before="280"/>
      </w:pPr>
      <w:r>
        <w:rPr>
          <w:rFonts w:ascii="Arial" w:cs="Arial" w:eastAsia="Arial" w:hAnsi="Arial"/>
          <w:b/>
          <w:bCs/>
          <w:color w:val="2C3E50"/>
          <w:sz w:val="26"/>
          <w:szCs w:val="26"/>
        </w:rPr>
        <w:t xml:space="preserve">5.2 Admin-Facing Alerts (KairoLogic Operations)</w:t>
      </w:r>
    </w:p>
    <w:p>
      <w:pPr>
        <w:spacing w:after="120"/>
        <w:jc w:val="left"/>
      </w:pPr>
      <w:r>
        <w:rPr>
          <w:rFonts w:ascii="Arial" w:cs="Arial" w:eastAsia="Arial" w:hAnsi="Arial"/>
          <w:b w:val="false"/>
          <w:bCs w:val="false"/>
          <w:i w:val="false"/>
          <w:iCs w:val="false"/>
          <w:color w:val="333333"/>
          <w:sz w:val="21"/>
          <w:szCs w:val="21"/>
        </w:rPr>
        <w:t xml:space="preserve">These are internal alerts for the KairoLogic team to ensure platform health and data pipeline reliability: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2000"/>
      </w:tblGrid>
      <w:tr>
        <w:trPr>
          <w:tblHeader/>
        </w:trPr>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Alert</w:t>
            </w:r>
          </w:p>
        </w:tc>
        <w:tc>
          <w:tcPr>
            <w:tcW w:type="dxa" w:w="3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Trigger</w:t>
            </w:r>
          </w:p>
        </w:tc>
        <w:tc>
          <w:tcPr>
            <w:tcW w:type="dxa" w:w="2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Resolution Path</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Payer API failure</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FHIR endpoint returns 401/403/500 for 3+ consecutive attempts</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Check OAuth credentials, contact payer interop team</w:t>
            </w:r>
          </w:p>
        </w:tc>
      </w:tr>
      <w:tr>
        <w:tc>
          <w:tcPr>
            <w:tcW w:type="dxa" w:w="2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NPPES sync stale</w:t>
            </w:r>
          </w:p>
        </w:tc>
        <w:tc>
          <w:tcPr>
            <w:tcW w:type="dxa" w:w="3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No new delta events detected for 14+ days</w:t>
            </w:r>
          </w:p>
        </w:tc>
        <w:tc>
          <w:tcPr>
            <w:tcW w:type="dxa" w:w="2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Verify GitHub Actions cron, check NPPES download</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State board sync failed</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Monthly medical board sync returns errors</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Check data format changes, re-run with verbose logging</w:t>
            </w:r>
          </w:p>
        </w:tc>
      </w:tr>
      <w:tr>
        <w:tc>
          <w:tcPr>
            <w:tcW w:type="dxa" w:w="2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Scan failure rate spike</w:t>
            </w:r>
          </w:p>
        </w:tc>
        <w:tc>
          <w:tcPr>
            <w:tcW w:type="dxa" w:w="3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Scan errors exceed 5% of batch</w:t>
            </w:r>
          </w:p>
        </w:tc>
        <w:tc>
          <w:tcPr>
            <w:tcW w:type="dxa" w:w="2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Review error types (timeout, blocked, malformed URL)</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PostgREST upsert failure</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Database upsert returns 409 or constraint violation</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Check on_conflict params, verify unique constraints</w:t>
            </w:r>
          </w:p>
        </w:tc>
      </w:tr>
      <w:tr>
        <w:tc>
          <w:tcPr>
            <w:tcW w:type="dxa" w:w="2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Workflow backlog growth</w:t>
            </w:r>
          </w:p>
        </w:tc>
        <w:tc>
          <w:tcPr>
            <w:tcW w:type="dxa" w:w="3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Unresolved workflows growing faster than resolution rate</w:t>
            </w:r>
          </w:p>
        </w:tc>
        <w:tc>
          <w:tcPr>
            <w:tcW w:type="dxa" w:w="2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Review stuck workflows, check auto-confirmation engine</w:t>
            </w:r>
          </w:p>
        </w:tc>
      </w:tr>
      <w:tr>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Pipeline data gap</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Expected table row count drops or stops growing</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Check upstream data source, verify ETL pipeline</w:t>
            </w:r>
          </w:p>
        </w:tc>
      </w:tr>
    </w:tbl>
    <w:p>
      <w:r>
        <w:br w:type="page"/>
      </w:r>
    </w:p>
    <w:p>
      <w:pPr>
        <w:pStyle w:val="Heading1"/>
        <w:spacing w:after="200" w:before="360"/>
      </w:pPr>
      <w:r>
        <w:rPr>
          <w:rFonts w:ascii="Arial" w:cs="Arial" w:eastAsia="Arial" w:hAnsi="Arial"/>
          <w:b/>
          <w:bCs/>
          <w:color w:val="1B4F72"/>
          <w:sz w:val="32"/>
          <w:szCs w:val="32"/>
        </w:rPr>
        <w:t xml:space="preserve">6. Audit Trail &amp; Reporting</w:t>
      </w:r>
    </w:p>
    <w:p>
      <w:pPr>
        <w:spacing w:after="120"/>
        <w:jc w:val="left"/>
      </w:pPr>
      <w:r>
        <w:rPr>
          <w:rFonts w:ascii="Arial" w:cs="Arial" w:eastAsia="Arial" w:hAnsi="Arial"/>
          <w:b w:val="false"/>
          <w:bCs w:val="false"/>
          <w:i w:val="false"/>
          <w:iCs w:val="false"/>
          <w:color w:val="333333"/>
          <w:sz w:val="21"/>
          <w:szCs w:val="21"/>
        </w:rPr>
        <w:t xml:space="preserve">Every action taken on the platform — by the system or by a user — is recorded in the audit trail. This provides the foundation for on-demand compliance reports, dispute resolution, and operational transparency.</w:t>
      </w:r>
    </w:p>
    <w:p>
      <w:pPr>
        <w:pStyle w:val="Heading2"/>
        <w:spacing w:after="160" w:before="280"/>
      </w:pPr>
      <w:r>
        <w:rPr>
          <w:rFonts w:ascii="Arial" w:cs="Arial" w:eastAsia="Arial" w:hAnsi="Arial"/>
          <w:b/>
          <w:bCs/>
          <w:color w:val="2C3E50"/>
          <w:sz w:val="26"/>
          <w:szCs w:val="26"/>
        </w:rPr>
        <w:t xml:space="preserve">6.1 Event Types Captured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400"/>
        <w:gridCol w:w="1200"/>
      </w:tblGrid>
      <w:tr>
        <w:trPr>
          <w:tblHeader/>
        </w:trPr>
        <w:tc>
          <w:tcPr>
            <w:tcW w:type="dxa" w:w="1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Category</w:t>
            </w:r>
          </w:p>
        </w:tc>
        <w:tc>
          <w:tcPr>
            <w:tcW w:type="dxa" w:w="4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Events</w:t>
            </w:r>
          </w:p>
        </w:tc>
        <w:tc>
          <w:tcPr>
            <w:tcW w:type="dxa" w:w="1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Actor</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Detection</w:t>
            </w:r>
          </w:p>
        </w:tc>
        <w:tc>
          <w:tcPr>
            <w:tcW w:type="dxa" w:w="4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Mismatch detected, license issue found, compliance finding, provider not listed</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System</w:t>
            </w:r>
          </w:p>
        </w:tc>
      </w:tr>
      <w:tr>
        <w:tc>
          <w:tcPr>
            <w:tcW w:type="dxa" w:w="1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User Action</w:t>
            </w:r>
          </w:p>
        </w:tc>
        <w:tc>
          <w:tcPr>
            <w:tcW w:type="dxa" w:w="4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Correction approved, form downloaded, task marked complete, provider added/removed</w:t>
            </w:r>
          </w:p>
        </w:tc>
        <w:tc>
          <w:tcPr>
            <w:tcW w:type="dxa" w:w="1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User (named)</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System Action</w:t>
            </w:r>
          </w:p>
        </w:tc>
        <w:tc>
          <w:tcPr>
            <w:tcW w:type="dxa" w:w="4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Form generated, NPPES polled, payer FHIR queried, auto-confirmation triggered</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System</w:t>
            </w:r>
          </w:p>
        </w:tc>
      </w:tr>
      <w:tr>
        <w:tc>
          <w:tcPr>
            <w:tcW w:type="dxa" w:w="1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Workflow Lifecycle</w:t>
            </w:r>
          </w:p>
        </w:tc>
        <w:tc>
          <w:tcPr>
            <w:tcW w:type="dxa" w:w="4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Workflow created, status changed, escalated, archived, closed</w:t>
            </w:r>
          </w:p>
        </w:tc>
        <w:tc>
          <w:tcPr>
            <w:tcW w:type="dxa" w:w="1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System / User</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Compliance</w:t>
            </w:r>
          </w:p>
        </w:tc>
        <w:tc>
          <w:tcPr>
            <w:tcW w:type="dxa" w:w="4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Scan completed, finding resolved, re-scan confirmed, regulation added</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System</w:t>
            </w:r>
          </w:p>
        </w:tc>
      </w:tr>
      <w:tr>
        <w:tc>
          <w:tcPr>
            <w:tcW w:type="dxa" w:w="1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Access</w:t>
            </w:r>
          </w:p>
        </w:tc>
        <w:tc>
          <w:tcPr>
            <w:tcW w:type="dxa" w:w="4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User login, team member invited, role changed, practice claimed</w:t>
            </w:r>
          </w:p>
        </w:tc>
        <w:tc>
          <w:tcPr>
            <w:tcW w:type="dxa" w:w="1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User / System</w:t>
            </w:r>
          </w:p>
        </w:tc>
      </w:tr>
    </w:tbl>
    <w:p>
      <w:pPr>
        <w:spacing w:after="80"/>
      </w:pPr>
    </w:p>
    <w:p>
      <w:pPr>
        <w:pStyle w:val="Heading2"/>
        <w:spacing w:after="160" w:before="280"/>
      </w:pPr>
      <w:r>
        <w:rPr>
          <w:rFonts w:ascii="Arial" w:cs="Arial" w:eastAsia="Arial" w:hAnsi="Arial"/>
          <w:b/>
          <w:bCs/>
          <w:color w:val="2C3E50"/>
          <w:sz w:val="26"/>
          <w:szCs w:val="26"/>
        </w:rPr>
        <w:t xml:space="preserve">6.2 Audit Trail Filters</w:t>
      </w:r>
    </w:p>
    <w:p>
      <w:pPr>
        <w:spacing w:after="120"/>
        <w:jc w:val="left"/>
      </w:pPr>
      <w:r>
        <w:rPr>
          <w:rFonts w:ascii="Arial" w:cs="Arial" w:eastAsia="Arial" w:hAnsi="Arial"/>
          <w:b w:val="false"/>
          <w:bCs w:val="false"/>
          <w:i w:val="false"/>
          <w:iCs w:val="false"/>
          <w:color w:val="333333"/>
          <w:sz w:val="21"/>
          <w:szCs w:val="21"/>
        </w:rPr>
        <w:t xml:space="preserve">The practice-wide audit trail is filterable by provider (dropdown), action type (data correction, license, payer, compliance), date range, and actor (system vs. user). This enables practice managers to generate focused audit reports for specific providers, time periods, or compliance categories.</w:t>
      </w:r>
    </w:p>
    <w:p>
      <w:pPr>
        <w:pStyle w:val="Heading2"/>
        <w:spacing w:after="160" w:before="280"/>
      </w:pPr>
      <w:r>
        <w:rPr>
          <w:rFonts w:ascii="Arial" w:cs="Arial" w:eastAsia="Arial" w:hAnsi="Arial"/>
          <w:b/>
          <w:bCs/>
          <w:color w:val="2C3E50"/>
          <w:sz w:val="26"/>
          <w:szCs w:val="26"/>
        </w:rPr>
        <w:t xml:space="preserve">6.3 On-Demand Reporting</w:t>
      </w:r>
    </w:p>
    <w:p>
      <w:pPr>
        <w:spacing w:after="120"/>
        <w:jc w:val="left"/>
      </w:pPr>
      <w:r>
        <w:rPr>
          <w:rFonts w:ascii="Arial" w:cs="Arial" w:eastAsia="Arial" w:hAnsi="Arial"/>
          <w:b w:val="false"/>
          <w:bCs w:val="false"/>
          <w:i w:val="false"/>
          <w:iCs w:val="false"/>
          <w:color w:val="333333"/>
          <w:sz w:val="21"/>
          <w:szCs w:val="21"/>
        </w:rPr>
        <w:t xml:space="preserve">The audit trail infrastructure supports generating on-demand reports in PDF or CSV format:</w:t>
      </w:r>
    </w:p>
    <w:p>
      <w:pPr>
        <w:spacing w:after="120"/>
      </w:pPr>
      <w:r>
        <w:rPr>
          <w:rFonts w:ascii="Arial" w:cs="Arial" w:eastAsia="Arial" w:hAnsi="Arial"/>
          <w:b/>
          <w:bCs/>
          <w:color w:val="333333"/>
          <w:sz w:val="21"/>
          <w:szCs w:val="21"/>
        </w:rPr>
        <w:t xml:space="preserve">Provider Activity Report: </w:t>
      </w:r>
      <w:r>
        <w:rPr>
          <w:rFonts w:ascii="Arial" w:cs="Arial" w:eastAsia="Arial" w:hAnsi="Arial"/>
          <w:color w:val="333333"/>
          <w:sz w:val="21"/>
          <w:szCs w:val="21"/>
        </w:rPr>
        <w:t xml:space="preserve">All events for a single provider over a specified date range. Useful for credentialing committee reviews.</w:t>
      </w:r>
    </w:p>
    <w:p>
      <w:pPr>
        <w:spacing w:after="120"/>
      </w:pPr>
      <w:r>
        <w:rPr>
          <w:rFonts w:ascii="Arial" w:cs="Arial" w:eastAsia="Arial" w:hAnsi="Arial"/>
          <w:b/>
          <w:bCs/>
          <w:color w:val="333333"/>
          <w:sz w:val="21"/>
          <w:szCs w:val="21"/>
        </w:rPr>
        <w:t xml:space="preserve">Compliance Audit Report: </w:t>
      </w:r>
      <w:r>
        <w:rPr>
          <w:rFonts w:ascii="Arial" w:cs="Arial" w:eastAsia="Arial" w:hAnsi="Arial"/>
          <w:color w:val="333333"/>
          <w:sz w:val="21"/>
          <w:szCs w:val="21"/>
        </w:rPr>
        <w:t xml:space="preserve">All compliance-related events with finding details, remediation status, and resolution dates. Required for regulatory audits.</w:t>
      </w:r>
    </w:p>
    <w:p>
      <w:pPr>
        <w:spacing w:after="120"/>
      </w:pPr>
      <w:r>
        <w:rPr>
          <w:rFonts w:ascii="Arial" w:cs="Arial" w:eastAsia="Arial" w:hAnsi="Arial"/>
          <w:b/>
          <w:bCs/>
          <w:color w:val="333333"/>
          <w:sz w:val="21"/>
          <w:szCs w:val="21"/>
        </w:rPr>
        <w:t xml:space="preserve">Payer Data Accuracy Report: </w:t>
      </w:r>
      <w:r>
        <w:rPr>
          <w:rFonts w:ascii="Arial" w:cs="Arial" w:eastAsia="Arial" w:hAnsi="Arial"/>
          <w:color w:val="333333"/>
          <w:sz w:val="21"/>
          <w:szCs w:val="21"/>
        </w:rPr>
        <w:t xml:space="preserve">Per-payer accuracy snapshot showing listed/not-listed status and mismatch history. Useful for payer relations and network adequacy documentation.</w:t>
      </w:r>
    </w:p>
    <w:p>
      <w:pPr>
        <w:spacing w:after="120"/>
      </w:pPr>
      <w:r>
        <w:rPr>
          <w:rFonts w:ascii="Arial" w:cs="Arial" w:eastAsia="Arial" w:hAnsi="Arial"/>
          <w:b/>
          <w:bCs/>
          <w:color w:val="333333"/>
          <w:sz w:val="21"/>
          <w:szCs w:val="21"/>
        </w:rPr>
        <w:t xml:space="preserve">Practice Health Summary: </w:t>
      </w:r>
      <w:r>
        <w:rPr>
          <w:rFonts w:ascii="Arial" w:cs="Arial" w:eastAsia="Arial" w:hAnsi="Arial"/>
          <w:color w:val="333333"/>
          <w:sz w:val="21"/>
          <w:szCs w:val="21"/>
        </w:rPr>
        <w:t xml:space="preserve">Dashboard-level KPIs, health score trends, and resolution velocity over time. Board-ready practice overview.</w:t>
      </w:r>
    </w:p>
    <w:p>
      <w:r>
        <w:br w:type="page"/>
      </w:r>
    </w:p>
    <w:p>
      <w:pPr>
        <w:pStyle w:val="Heading1"/>
        <w:spacing w:after="200" w:before="360"/>
      </w:pPr>
      <w:r>
        <w:rPr>
          <w:rFonts w:ascii="Arial" w:cs="Arial" w:eastAsia="Arial" w:hAnsi="Arial"/>
          <w:b/>
          <w:bCs/>
          <w:color w:val="1B4F72"/>
          <w:sz w:val="32"/>
          <w:szCs w:val="32"/>
        </w:rPr>
        <w:t xml:space="preserve">7. User-Facing Status &amp; ETA Language</w:t>
      </w:r>
    </w:p>
    <w:p>
      <w:pPr>
        <w:spacing w:after="120"/>
        <w:jc w:val="left"/>
      </w:pPr>
      <w:r>
        <w:rPr>
          <w:rFonts w:ascii="Arial" w:cs="Arial" w:eastAsia="Arial" w:hAnsi="Arial"/>
          <w:b w:val="false"/>
          <w:bCs w:val="false"/>
          <w:i w:val="false"/>
          <w:iCs w:val="false"/>
          <w:color w:val="333333"/>
          <w:sz w:val="21"/>
          <w:szCs w:val="21"/>
        </w:rPr>
        <w:t xml:space="preserve">Practice managers are not technical users. Every status message, progress indicator, and timeline estimate uses plain, reassuring language that sets appropriate expectations without overwhelming with system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3200"/>
        <w:gridCol w:w="1000"/>
      </w:tblGrid>
      <w:tr>
        <w:trPr>
          <w:tblHeader/>
        </w:trPr>
        <w:tc>
          <w:tcPr>
            <w:tcW w:type="dxa" w:w="1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Internal State</w:t>
            </w:r>
          </w:p>
        </w:tc>
        <w:tc>
          <w:tcPr>
            <w:tcW w:type="dxa" w:w="1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Dashboard Display</w:t>
            </w:r>
          </w:p>
        </w:tc>
        <w:tc>
          <w:tcPr>
            <w:tcW w:type="dxa" w:w="3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ETA Language</w:t>
            </w:r>
          </w:p>
        </w:tc>
        <w:tc>
          <w:tcPr>
            <w:tcW w:type="dxa" w:w="1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Color</w:t>
            </w:r>
          </w:p>
        </w:tc>
      </w:tr>
      <w:tr>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action_needed</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Needs your attention</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“We found an issue that needs your review”</w:t>
            </w:r>
          </w:p>
        </w:tc>
        <w:tc>
          <w:tcPr>
            <w:tcW w:type="dxa" w:w="1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Red badge</w:t>
            </w:r>
          </w:p>
        </w:tc>
      </w:tr>
      <w:tr>
        <w:tc>
          <w:tcPr>
            <w:tcW w:type="dxa" w:w="16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review_pending</w:t>
            </w:r>
          </w:p>
        </w:tc>
        <w:tc>
          <w:tcPr>
            <w:tcW w:type="dxa" w:w="1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Under review</w:t>
            </w:r>
          </w:p>
        </w:tc>
        <w:tc>
          <w:tcPr>
            <w:tcW w:type="dxa" w:w="3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“Please review the details and confirm the correct information”</w:t>
            </w:r>
          </w:p>
        </w:tc>
        <w:tc>
          <w:tcPr>
            <w:tcW w:type="dxa" w:w="1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Red badge</w:t>
            </w:r>
          </w:p>
        </w:tc>
      </w:tr>
      <w:tr>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approved</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Correction approved</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“Your correction has been recorded. Follow the steps to submit.”</w:t>
            </w:r>
          </w:p>
        </w:tc>
        <w:tc>
          <w:tcPr>
            <w:tcW w:type="dxa" w:w="1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Amber badge</w:t>
            </w:r>
          </w:p>
        </w:tc>
      </w:tr>
      <w:tr>
        <w:tc>
          <w:tcPr>
            <w:tcW w:type="dxa" w:w="16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submitted</w:t>
            </w:r>
          </w:p>
        </w:tc>
        <w:tc>
          <w:tcPr>
            <w:tcW w:type="dxa" w:w="1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Submitted</w:t>
            </w:r>
          </w:p>
        </w:tc>
        <w:tc>
          <w:tcPr>
            <w:tcW w:type="dxa" w:w="3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“You’ve submitted the correction. We’ll watch for confirmation.”</w:t>
            </w:r>
          </w:p>
        </w:tc>
        <w:tc>
          <w:tcPr>
            <w:tcW w:type="dxa" w:w="1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Amber badge</w:t>
            </w:r>
          </w:p>
        </w:tc>
      </w:tr>
      <w:tr>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monitoring</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Waiting for confirmation</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“We’re checking [source] for your update (typically 1–3 weeks)”</w:t>
            </w:r>
          </w:p>
        </w:tc>
        <w:tc>
          <w:tcPr>
            <w:tcW w:type="dxa" w:w="1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Blue badge</w:t>
            </w:r>
          </w:p>
        </w:tc>
      </w:tr>
      <w:tr>
        <w:tc>
          <w:tcPr>
            <w:tcW w:type="dxa" w:w="16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confirmed</w:t>
            </w:r>
          </w:p>
        </w:tc>
        <w:tc>
          <w:tcPr>
            <w:tcW w:type="dxa" w:w="1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Confirmed</w:t>
            </w:r>
          </w:p>
        </w:tc>
        <w:tc>
          <w:tcPr>
            <w:tcW w:type="dxa" w:w="3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“Change confirmed in [source] on [date]”</w:t>
            </w:r>
          </w:p>
        </w:tc>
        <w:tc>
          <w:tcPr>
            <w:tcW w:type="dxa" w:w="1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Green badge</w:t>
            </w:r>
          </w:p>
        </w:tc>
      </w:tr>
      <w:tr>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resolved</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Resolved</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“All systems updated. This issue is resolved.”</w:t>
            </w:r>
          </w:p>
        </w:tc>
        <w:tc>
          <w:tcPr>
            <w:tcW w:type="dxa" w:w="1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Green check</w:t>
            </w:r>
          </w:p>
        </w:tc>
      </w:tr>
      <w:tr>
        <w:tc>
          <w:tcPr>
            <w:tcW w:type="dxa" w:w="16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overdue_7d</w:t>
            </w:r>
          </w:p>
        </w:tc>
        <w:tc>
          <w:tcPr>
            <w:tcW w:type="dxa" w:w="1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Follow-up needed</w:t>
            </w:r>
          </w:p>
        </w:tc>
        <w:tc>
          <w:tcPr>
            <w:tcW w:type="dxa" w:w="3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“It’s been a week — would you like to check on this?”</w:t>
            </w:r>
          </w:p>
        </w:tc>
        <w:tc>
          <w:tcPr>
            <w:tcW w:type="dxa" w:w="1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Amber badge</w:t>
            </w:r>
          </w:p>
        </w:tc>
      </w:tr>
      <w:tr>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overdue_30d</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Attention needed</w:t>
            </w:r>
          </w:p>
        </w:tc>
        <w:tc>
          <w:tcPr>
            <w:tcW w:type="dxa" w:w="3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“This correction hasn’t been confirmed yet. Here’s what you can do.”</w:t>
            </w:r>
          </w:p>
        </w:tc>
        <w:tc>
          <w:tcPr>
            <w:tcW w:type="dxa" w:w="1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Red badge</w:t>
            </w:r>
          </w:p>
        </w:tc>
      </w:tr>
      <w:tr>
        <w:tc>
          <w:tcPr>
            <w:tcW w:type="dxa" w:w="16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source_unavailable</w:t>
            </w:r>
          </w:p>
        </w:tc>
        <w:tc>
          <w:tcPr>
            <w:tcW w:type="dxa" w:w="1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Source temporarily unavailable</w:t>
            </w:r>
          </w:p>
        </w:tc>
        <w:tc>
          <w:tcPr>
            <w:tcW w:type="dxa" w:w="3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“We can’t reach [source] right now. We’ll keep trying automatically.”</w:t>
            </w:r>
          </w:p>
        </w:tc>
        <w:tc>
          <w:tcPr>
            <w:tcW w:type="dxa" w:w="1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Gray badge</w:t>
            </w:r>
          </w:p>
        </w:tc>
      </w:tr>
    </w:tbl>
    <w:p>
      <w:r>
        <w:br w:type="page"/>
      </w:r>
    </w:p>
    <w:p>
      <w:pPr>
        <w:pStyle w:val="Heading1"/>
        <w:spacing w:after="200" w:before="360"/>
      </w:pPr>
      <w:r>
        <w:rPr>
          <w:rFonts w:ascii="Arial" w:cs="Arial" w:eastAsia="Arial" w:hAnsi="Arial"/>
          <w:b/>
          <w:bCs/>
          <w:color w:val="1B4F72"/>
          <w:sz w:val="32"/>
          <w:szCs w:val="32"/>
        </w:rPr>
        <w:t xml:space="preserve">8. Validation Plan: 20-Provider Test Suite</w:t>
      </w:r>
    </w:p>
    <w:p>
      <w:pPr>
        <w:spacing w:after="120"/>
        <w:jc w:val="left"/>
      </w:pPr>
      <w:r>
        <w:rPr>
          <w:rFonts w:ascii="Arial" w:cs="Arial" w:eastAsia="Arial" w:hAnsi="Arial"/>
          <w:b w:val="false"/>
          <w:bCs w:val="false"/>
          <w:i w:val="false"/>
          <w:iCs w:val="false"/>
          <w:color w:val="333333"/>
          <w:sz w:val="21"/>
          <w:szCs w:val="21"/>
        </w:rPr>
        <w:t xml:space="preserve">Using the Brushy Creek Family Medicine practice (20 providers) as the validation cohort, this plan tests every signal detection path, workflow lifecycle, and dashboard display against live external data sources.</w:t>
      </w:r>
    </w:p>
    <w:p>
      <w:pPr>
        <w:pStyle w:val="Heading2"/>
        <w:spacing w:after="160" w:before="280"/>
      </w:pPr>
      <w:r>
        <w:rPr>
          <w:rFonts w:ascii="Arial" w:cs="Arial" w:eastAsia="Arial" w:hAnsi="Arial"/>
          <w:b/>
          <w:bCs/>
          <w:color w:val="2C3E50"/>
          <w:sz w:val="26"/>
          <w:szCs w:val="26"/>
        </w:rPr>
        <w:t xml:space="preserve">8.1 Validation Cohort</w:t>
      </w:r>
    </w:p>
    <w:p>
      <w:pPr>
        <w:spacing w:after="120"/>
        <w:jc w:val="left"/>
      </w:pPr>
      <w:r>
        <w:rPr>
          <w:rFonts w:ascii="Arial" w:cs="Arial" w:eastAsia="Arial" w:hAnsi="Arial"/>
          <w:b w:val="false"/>
          <w:bCs w:val="false"/>
          <w:i w:val="false"/>
          <w:iCs w:val="false"/>
          <w:color w:val="333333"/>
          <w:sz w:val="21"/>
          <w:szCs w:val="21"/>
        </w:rPr>
        <w:t xml:space="preserve">Practice: Brushy Creek Family Physicians (ID: 5d195c8b-7f3c-498e-b5cf-24a7c0f8a215). 20 providers spanning individual practitioners and organizational NPIs across family medicine, pediatrics, and internal medicine. This cohort includes providers with known payer directory gaps, NPPES mismatches, and license variations — making it an ideal test of signal coverage.</w:t>
      </w:r>
    </w:p>
    <w:p>
      <w:pPr>
        <w:pStyle w:val="Heading2"/>
        <w:spacing w:after="160" w:before="280"/>
      </w:pPr>
      <w:r>
        <w:rPr>
          <w:rFonts w:ascii="Arial" w:cs="Arial" w:eastAsia="Arial" w:hAnsi="Arial"/>
          <w:b/>
          <w:bCs/>
          <w:color w:val="2C3E50"/>
          <w:sz w:val="26"/>
          <w:szCs w:val="26"/>
        </w:rPr>
        <w:t xml:space="preserve">8.2 Test Matrix</w:t>
      </w:r>
    </w:p>
    <w:p>
      <w:pPr>
        <w:spacing w:after="120"/>
        <w:jc w:val="left"/>
      </w:pPr>
      <w:r>
        <w:rPr>
          <w:rFonts w:ascii="Arial" w:cs="Arial" w:eastAsia="Arial" w:hAnsi="Arial"/>
          <w:b w:val="false"/>
          <w:bCs w:val="false"/>
          <w:i w:val="false"/>
          <w:iCs w:val="false"/>
          <w:color w:val="333333"/>
          <w:sz w:val="21"/>
          <w:szCs w:val="21"/>
        </w:rPr>
        <w:t xml:space="preserve">Each test verifies signal detection against the actual external source, confirms the workflow is created with correct status, and validates the dashboard display.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200"/>
        <w:gridCol w:w="1000"/>
      </w:tblGrid>
      <w:tr>
        <w:trPr>
          <w:tblHeader/>
        </w:trPr>
        <w:tc>
          <w:tcPr>
            <w:tcW w:type="dxa" w:w="1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Test Area</w:t>
            </w:r>
          </w:p>
        </w:tc>
        <w:tc>
          <w:tcPr>
            <w:tcW w:type="dxa" w:w="2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Test Method</w:t>
            </w:r>
          </w:p>
        </w:tc>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Expected Outcome</w:t>
            </w:r>
          </w:p>
        </w:tc>
        <w:tc>
          <w:tcPr>
            <w:tcW w:type="dxa" w:w="10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Pass Criteria</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NPPES address match</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Compare website address vs NPPES API for all 20 NPIs</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Mismatches flagged, matches green</w:t>
            </w:r>
          </w:p>
        </w:tc>
        <w:tc>
          <w:tcPr>
            <w:tcW w:type="dxa" w:w="1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100% of known mismatches detected</w:t>
            </w:r>
          </w:p>
        </w:tc>
      </w:tr>
      <w:tr>
        <w:tc>
          <w:tcPr>
            <w:tcW w:type="dxa" w:w="1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Payer directory coverage</w:t>
            </w:r>
          </w:p>
        </w:tc>
        <w:tc>
          <w:tcPr>
            <w:tcW w:type="dxa" w:w="2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FHIR query all 20 NPIs across UHC, Aetna, Cigna, Humana</w:t>
            </w:r>
          </w:p>
        </w:tc>
        <w:tc>
          <w:tcPr>
            <w:tcW w:type="dxa" w:w="2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Listed/not-listed status accurate per payer</w:t>
            </w:r>
          </w:p>
        </w:tc>
        <w:tc>
          <w:tcPr>
            <w:tcW w:type="dxa" w:w="1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Results match manual FHIR spot-checks</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Cigna name-mode search</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Verify Cigna results for all 20 providers using name-based search</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12+ providers found (matching current baseline)</w:t>
            </w:r>
          </w:p>
        </w:tc>
        <w:tc>
          <w:tcPr>
            <w:tcW w:type="dxa" w:w="1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No false negatives vs manual check</w:t>
            </w:r>
          </w:p>
        </w:tc>
      </w:tr>
      <w:tr>
        <w:tc>
          <w:tcPr>
            <w:tcW w:type="dxa" w:w="1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UHC PractitionerRole</w:t>
            </w:r>
          </w:p>
        </w:tc>
        <w:tc>
          <w:tcPr>
            <w:tcW w:type="dxa" w:w="2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Query PractitionerRole for all 20 NPIs on UHC</w:t>
            </w:r>
          </w:p>
        </w:tc>
        <w:tc>
          <w:tcPr>
            <w:tcW w:type="dxa" w:w="2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Address/phone/specialty extracted where available</w:t>
            </w:r>
          </w:p>
        </w:tc>
        <w:tc>
          <w:tcPr>
            <w:tcW w:type="dxa" w:w="1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Graceful handling of 500 errors</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Health score accuracy</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Compute health scores for all 20 providers</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Scores reflect actual mismatch/license status</w:t>
            </w:r>
          </w:p>
        </w:tc>
        <w:tc>
          <w:tcPr>
            <w:tcW w:type="dxa" w:w="1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Score matches manual calculation for 5 sample providers</w:t>
            </w:r>
          </w:p>
        </w:tc>
      </w:tr>
      <w:tr>
        <w:tc>
          <w:tcPr>
            <w:tcW w:type="dxa" w:w="1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Mismatch engine</w:t>
            </w:r>
          </w:p>
        </w:tc>
        <w:tc>
          <w:tcPr>
            <w:tcW w:type="dxa" w:w="2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Run cross-source comparison for all 20 providers</w:t>
            </w:r>
          </w:p>
        </w:tc>
        <w:tc>
          <w:tcPr>
            <w:tcW w:type="dxa" w:w="2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Per-field mismatches detected with correct sources</w:t>
            </w:r>
          </w:p>
        </w:tc>
        <w:tc>
          <w:tcPr>
            <w:tcW w:type="dxa" w:w="1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Mismatch count matches manual audit</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Workflow creation</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Trigger sync for all 20 providers, verify workflow instances</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One workflow per provider per signal type</w:t>
            </w:r>
          </w:p>
        </w:tc>
        <w:tc>
          <w:tcPr>
            <w:tcW w:type="dxa" w:w="1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Correct workflow_type and status for each</w:t>
            </w:r>
          </w:p>
        </w:tc>
      </w:tr>
      <w:tr>
        <w:tc>
          <w:tcPr>
            <w:tcW w:type="dxa" w:w="1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Dashboard rendering</w:t>
            </w:r>
          </w:p>
        </w:tc>
        <w:tc>
          <w:tcPr>
            <w:tcW w:type="dxa" w:w="2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View provider roster, detail panel, payer directory grid</w:t>
            </w:r>
          </w:p>
        </w:tc>
        <w:tc>
          <w:tcPr>
            <w:tcW w:type="dxa" w:w="2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All 20 providers display with correct badges and data</w:t>
            </w:r>
          </w:p>
        </w:tc>
        <w:tc>
          <w:tcPr>
            <w:tcW w:type="dxa" w:w="1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Visual spot-check of 5 providers</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Audit trail</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Check workflow_events for detection and action events</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Events logged with correct timestamps and actors</w:t>
            </w:r>
          </w:p>
        </w:tc>
        <w:tc>
          <w:tcPr>
            <w:tcW w:type="dxa" w:w="1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Events exist for every workflow created</w:t>
            </w:r>
          </w:p>
        </w:tc>
      </w:tr>
      <w:tr>
        <w:tc>
          <w:tcPr>
            <w:tcW w:type="dxa" w:w="1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Compliance scan</w:t>
            </w:r>
          </w:p>
        </w:tc>
        <w:tc>
          <w:tcPr>
            <w:tcW w:type="dxa" w:w="2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Run website scanner on practice URL</w:t>
            </w:r>
          </w:p>
        </w:tc>
        <w:tc>
          <w:tcPr>
            <w:tcW w:type="dxa" w:w="2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Compliance findings detected and displayed</w:t>
            </w:r>
          </w:p>
        </w:tc>
        <w:tc>
          <w:tcPr>
            <w:tcW w:type="dxa" w:w="1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Results match manual website inspection</w:t>
            </w:r>
          </w:p>
        </w:tc>
      </w:tr>
    </w:tbl>
    <w:p>
      <w:pPr>
        <w:spacing w:after="80"/>
      </w:pPr>
    </w:p>
    <w:p>
      <w:pPr>
        <w:pStyle w:val="Heading2"/>
        <w:spacing w:after="160" w:before="280"/>
      </w:pPr>
      <w:r>
        <w:rPr>
          <w:rFonts w:ascii="Arial" w:cs="Arial" w:eastAsia="Arial" w:hAnsi="Arial"/>
          <w:b/>
          <w:bCs/>
          <w:color w:val="2C3E50"/>
          <w:sz w:val="26"/>
          <w:szCs w:val="26"/>
        </w:rPr>
        <w:t xml:space="preserve">8.3 Current Baseline (March 29, 2026)</w:t>
      </w:r>
    </w:p>
    <w:p>
      <w:pPr>
        <w:spacing w:after="120"/>
        <w:jc w:val="left"/>
      </w:pPr>
      <w:r>
        <w:rPr>
          <w:rFonts w:ascii="Arial" w:cs="Arial" w:eastAsia="Arial" w:hAnsi="Arial"/>
          <w:b w:val="false"/>
          <w:bCs w:val="false"/>
          <w:i w:val="false"/>
          <w:iCs w:val="false"/>
          <w:color w:val="333333"/>
          <w:sz w:val="21"/>
          <w:szCs w:val="21"/>
        </w:rPr>
        <w:t xml:space="preserve">After four iterations of bug fixes and sync improvements, the current payer directory baseline for Brushy Creek shows significant progress: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400"/>
        <w:gridCol w:w="1600"/>
        <w:gridCol w:w="1800"/>
      </w:tblGrid>
      <w:tr>
        <w:trPr>
          <w:tblHeader/>
        </w:trPr>
        <w:tc>
          <w:tcPr>
            <w:tcW w:type="dxa" w:w="1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Payer</w:t>
            </w:r>
          </w:p>
        </w:tc>
        <w:tc>
          <w:tcPr>
            <w:tcW w:type="dxa" w:w="1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Baseline Listed</w:t>
            </w:r>
          </w:p>
        </w:tc>
        <w:tc>
          <w:tcPr>
            <w:tcW w:type="dxa" w:w="1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Current Listed</w:t>
            </w:r>
          </w:p>
        </w:tc>
        <w:tc>
          <w:tcPr>
            <w:tcW w:type="dxa" w:w="1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Change</w:t>
            </w:r>
          </w:p>
        </w:tc>
        <w:tc>
          <w:tcPr>
            <w:tcW w:type="dxa" w:w="18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Notes</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Cigna</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0 of 20</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12 of 20</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+12</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Name-mode fix resolved all; 8 genuinely not in directory</w:t>
            </w:r>
          </w:p>
        </w:tc>
      </w:tr>
      <w:tr>
        <w:tc>
          <w:tcPr>
            <w:tcW w:type="dxa" w:w="1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UHC</w:t>
            </w:r>
          </w:p>
        </w:tc>
        <w:tc>
          <w:tcPr>
            <w:tcW w:type="dxa" w:w="1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0 of 9</w:t>
            </w:r>
          </w:p>
        </w:tc>
        <w:tc>
          <w:tcPr>
            <w:tcW w:type="dxa" w:w="1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2 of 12</w:t>
            </w:r>
          </w:p>
        </w:tc>
        <w:tc>
          <w:tcPr>
            <w:tcW w:type="dxa" w:w="16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+2 listed, +3 snapshots</w:t>
            </w:r>
          </w:p>
        </w:tc>
        <w:tc>
          <w:tcPr>
            <w:tcW w:type="dxa" w:w="1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Intermittent 500s on 10 NPIs (server-side)</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Humana</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11 of 20</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11 of 20</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No change</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Already working; 9 genuinely not listed</w:t>
            </w:r>
          </w:p>
        </w:tc>
      </w:tr>
      <w:tr>
        <w:tc>
          <w:tcPr>
            <w:tcW w:type="dxa" w:w="1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Aetna</w:t>
            </w:r>
          </w:p>
        </w:tc>
        <w:tc>
          <w:tcPr>
            <w:tcW w:type="dxa" w:w="1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0 of 20</w:t>
            </w:r>
          </w:p>
        </w:tc>
        <w:tc>
          <w:tcPr>
            <w:tcW w:type="dxa" w:w="1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0 of 20</w:t>
            </w:r>
          </w:p>
        </w:tc>
        <w:tc>
          <w:tcPr>
            <w:tcW w:type="dxa" w:w="16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No change</w:t>
            </w:r>
          </w:p>
        </w:tc>
        <w:tc>
          <w:tcPr>
            <w:tcW w:type="dxa" w:w="1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OAuth credentials expired; renewal pending</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Total</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11 snapshots</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25 snapshots</w:t>
            </w:r>
          </w:p>
        </w:tc>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+14 (+127%)</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70 successful upserts on last sync</w:t>
            </w:r>
          </w:p>
        </w:tc>
      </w:tr>
    </w:tbl>
    <w:p>
      <w:pPr>
        <w:spacing w:after="80"/>
      </w:pPr>
    </w:p>
    <w:p>
      <w:pPr>
        <w:pStyle w:val="Heading2"/>
        <w:spacing w:after="160" w:before="280"/>
      </w:pPr>
      <w:r>
        <w:rPr>
          <w:rFonts w:ascii="Arial" w:cs="Arial" w:eastAsia="Arial" w:hAnsi="Arial"/>
          <w:b/>
          <w:bCs/>
          <w:color w:val="2C3E50"/>
          <w:sz w:val="26"/>
          <w:szCs w:val="26"/>
        </w:rPr>
        <w:t xml:space="preserve">8.4 Remaining Validation Steps</w:t>
      </w:r>
    </w:p>
    <w:p>
      <w:pPr>
        <w:spacing w:after="120"/>
      </w:pPr>
      <w:r>
        <w:rPr>
          <w:rFonts w:ascii="Arial" w:cs="Arial" w:eastAsia="Arial" w:hAnsi="Arial"/>
          <w:b/>
          <w:bCs/>
          <w:color w:val="333333"/>
          <w:sz w:val="21"/>
          <w:szCs w:val="21"/>
        </w:rPr>
        <w:t xml:space="preserve">1. ✅ Aetna endpoint resolution (COMPLETED): </w:t>
      </w:r>
      <w:r>
        <w:rPr>
          <w:rFonts w:ascii="Arial" w:cs="Arial" w:eastAsia="Arial" w:hAnsi="Arial"/>
          <w:color w:val="333333"/>
          <w:sz w:val="21"/>
          <w:szCs w:val="21"/>
        </w:rPr>
        <w:t xml:space="preserve">Resolved. Correct production URL is https://apif1.aetna.com/fhir/v1/providerdirectorydata (Commercial+Medicare directory). Aetna now returns 6/20 Brushy Creek providers. FHIR directory confirmed as subset of consumer “Find a Doctor” tool — some in-network providers missing from API.</w:t>
      </w:r>
    </w:p>
    <w:p>
      <w:pPr>
        <w:spacing w:after="120"/>
      </w:pPr>
      <w:r>
        <w:rPr>
          <w:rFonts w:ascii="Arial" w:cs="Arial" w:eastAsia="Arial" w:hAnsi="Arial"/>
          <w:b/>
          <w:bCs/>
          <w:color w:val="333333"/>
          <w:sz w:val="21"/>
          <w:szCs w:val="21"/>
        </w:rPr>
        <w:t xml:space="preserve">2. ✅ UHC graceful degradation (COMPLETED): </w:t>
      </w:r>
      <w:r>
        <w:rPr>
          <w:rFonts w:ascii="Arial" w:cs="Arial" w:eastAsia="Arial" w:hAnsi="Arial"/>
          <w:color w:val="333333"/>
          <w:sz w:val="21"/>
          <w:szCs w:val="21"/>
        </w:rPr>
        <w:t xml:space="preserve">Implemented. PractitionerRole 500 errors now caught; partial snapshots built from Practitioner data. UHC went from 2/20 to 10/20 listed.</w:t>
      </w:r>
    </w:p>
    <w:p>
      <w:pPr>
        <w:spacing w:after="120"/>
      </w:pPr>
      <w:r>
        <w:rPr>
          <w:rFonts w:ascii="Arial" w:cs="Arial" w:eastAsia="Arial" w:hAnsi="Arial"/>
          <w:b/>
          <w:bCs/>
          <w:color w:val="333333"/>
          <w:sz w:val="21"/>
          <w:szCs w:val="21"/>
        </w:rPr>
        <w:t xml:space="preserve">3. End-to-end workflow test: </w:t>
      </w:r>
      <w:r>
        <w:rPr>
          <w:rFonts w:ascii="Arial" w:cs="Arial" w:eastAsia="Arial" w:hAnsi="Arial"/>
          <w:color w:val="333333"/>
          <w:sz w:val="21"/>
          <w:szCs w:val="21"/>
        </w:rPr>
        <w:t xml:space="preserve">Trigger a full sync, verify workflow_instances created for each mismatch, confirm dashboard displays correct provider detail and action items.</w:t>
      </w:r>
    </w:p>
    <w:p>
      <w:pPr>
        <w:spacing w:after="120"/>
      </w:pPr>
      <w:r>
        <w:rPr>
          <w:rFonts w:ascii="Arial" w:cs="Arial" w:eastAsia="Arial" w:hAnsi="Arial"/>
          <w:b/>
          <w:bCs/>
          <w:color w:val="333333"/>
          <w:sz w:val="21"/>
          <w:szCs w:val="21"/>
        </w:rPr>
        <w:t xml:space="preserve">4. Cross-practice expansion: </w:t>
      </w:r>
      <w:r>
        <w:rPr>
          <w:rFonts w:ascii="Arial" w:cs="Arial" w:eastAsia="Arial" w:hAnsi="Arial"/>
          <w:color w:val="333333"/>
          <w:sz w:val="21"/>
          <w:szCs w:val="21"/>
        </w:rPr>
        <w:t xml:space="preserve">Run the same validation suite against 3 additional practices (North Texas Medical Surgical Clinic, Wyoming Springs Pediatrics, one CA practice) to confirm generalization.</w:t>
      </w:r>
    </w:p>
    <w:p>
      <w:pPr>
        <w:spacing w:after="120"/>
      </w:pPr>
      <w:r>
        <w:rPr>
          <w:rFonts w:ascii="Arial" w:cs="Arial" w:eastAsia="Arial" w:hAnsi="Arial"/>
          <w:b/>
          <w:bCs/>
          <w:color w:val="333333"/>
          <w:sz w:val="21"/>
          <w:szCs w:val="21"/>
        </w:rPr>
        <w:t xml:space="preserve">5. Website scanner validation: </w:t>
      </w:r>
      <w:r>
        <w:rPr>
          <w:rFonts w:ascii="Arial" w:cs="Arial" w:eastAsia="Arial" w:hAnsi="Arial"/>
          <w:color w:val="333333"/>
          <w:sz w:val="21"/>
          <w:szCs w:val="21"/>
        </w:rPr>
        <w:t xml:space="preserve">Run compliance scan on Brushy Creek website, verify all compliance signals are detected and correctly categorized.</w:t>
      </w:r>
    </w:p>
    <w:p>
      <w:pPr>
        <w:spacing w:after="120"/>
      </w:pPr>
      <w:r>
        <w:rPr>
          <w:rFonts w:ascii="Arial" w:cs="Arial" w:eastAsia="Arial" w:hAnsi="Arial"/>
          <w:b/>
          <w:bCs/>
          <w:color w:val="333333"/>
          <w:sz w:val="21"/>
          <w:szCs w:val="21"/>
        </w:rPr>
        <w:t xml:space="preserve">6. ✅ Pipeline hardening (COMPLETED): </w:t>
      </w:r>
      <w:r>
        <w:rPr>
          <w:rFonts w:ascii="Arial" w:cs="Arial" w:eastAsia="Arial" w:hAnsi="Arial"/>
          <w:color w:val="333333"/>
          <w:sz w:val="21"/>
          <w:szCs w:val="21"/>
        </w:rPr>
        <w:t xml:space="preserve">OAuth retry with exponential backoff (2 retries, 15s timeout). 429 rate-limit detection with Retry-After support. Circuit breaker (3 consecutive failures auto-skips payer). NPPES fetch failure guard prevents silent “0 mismatches” results. Practice-level sync lock prevents concurrent race conditions.</w:t>
      </w:r>
    </w:p>
    <w:p>
      <w:pPr>
        <w:spacing w:after="120"/>
      </w:pPr>
      <w:r>
        <w:rPr>
          <w:rFonts w:ascii="Arial" w:cs="Arial" w:eastAsia="Arial" w:hAnsi="Arial"/>
          <w:b/>
          <w:bCs/>
          <w:color w:val="333333"/>
          <w:sz w:val="21"/>
          <w:szCs w:val="21"/>
        </w:rPr>
        <w:t xml:space="preserve">7. Bulk FHIR $export integration (FUTURE — HIGH PRIORITY): </w:t>
      </w:r>
      <w:r>
        <w:rPr>
          <w:rFonts w:ascii="Arial" w:cs="Arial" w:eastAsia="Arial" w:hAnsi="Arial"/>
          <w:color w:val="333333"/>
          <w:sz w:val="21"/>
          <w:szCs w:val="21"/>
        </w:rPr>
        <w:t xml:space="preserve">Replace individual NPI-by-NPI FHIR lookups with Bulk Data Export ($export) for complete directory coverage. Investigation confirmed Aetna’s FHIR directory is a subset of their consumer “Find a Doctor” tool; bulk export may contain the full network. Approach: (A) Kick off $export for Practitioner + PractitionerRole + Location, (B) Download NDJSON files to temp storage, (C) Filter to match only NPIs in our practice_providers table, (D) Upsert matched snapshots to Supabase, (E) Discard temp files. Daily delta via _since parameter catches additions and updates; weekly full export detects removals. Aetna $export confirmed production-ready (release 9/29/2023). UHC, Cigna, Humana likely supported but unconfirmed — check CapabilityStatement (/metadata) for each payer. CMS mandate (Consolidated Appropriations Act 2023) requires all payers to support bulk FHIR by January 2027.</w:t>
      </w:r>
    </w:p>
    <w:p>
      <w:pPr>
        <w:spacing w:after="120"/>
      </w:pPr>
      <w:r>
        <w:rPr>
          <w:rFonts w:ascii="Arial" w:cs="Arial" w:eastAsia="Arial" w:hAnsi="Arial"/>
          <w:b/>
          <w:bCs/>
          <w:color w:val="333333"/>
          <w:sz w:val="21"/>
          <w:szCs w:val="21"/>
        </w:rPr>
        <w:t xml:space="preserve">8. Aetna hostname migration watch: </w:t>
      </w:r>
      <w:r>
        <w:rPr>
          <w:rFonts w:ascii="Arial" w:cs="Arial" w:eastAsia="Arial" w:hAnsi="Arial"/>
          <w:color w:val="333333"/>
          <w:sz w:val="21"/>
          <w:szCs w:val="21"/>
        </w:rPr>
        <w:t xml:space="preserve">Aetna release notes (3/4/2026) show some APIs migrating from apif1.aetna.com to apix.cvshealth.com. Provider Directory not yet affected, but monitor for future migration. Sync should handle hostname changes via DB config update without code changes.</w:t>
      </w:r>
    </w:p>
    <w:p>
      <w:pPr>
        <w:spacing w:after="120"/>
      </w:pPr>
      <w:r>
        <w:rPr>
          <w:rFonts w:ascii="Arial" w:cs="Arial" w:eastAsia="Arial" w:hAnsi="Arial"/>
          <w:b/>
          <w:bCs/>
          <w:color w:val="333333"/>
          <w:sz w:val="21"/>
          <w:szCs w:val="21"/>
        </w:rPr>
        <w:t xml:space="preserve">9. ✅ Acceptance gap validation loop (COMPLETED): </w:t>
      </w:r>
      <w:r>
        <w:rPr>
          <w:rFonts w:ascii="Arial" w:cs="Arial" w:eastAsia="Arial" w:hAnsi="Arial"/>
          <w:color w:val="333333"/>
          <w:sz w:val="21"/>
          <w:szCs w:val="21"/>
        </w:rPr>
        <w:t xml:space="preserve">Wired the acceptance-gap-detector module into practice-payer-sync. Sync route now reads practice_websites.accepted_payers to scope gap detection to only claimed payers. Layer 1 consecutive-count threshold (2+ cycles) prevents false positives. Signal type derived from accepted_payers_source (admin_entered → confirmed, scanner → indicative).</w:t>
      </w:r>
    </w:p>
    <w:p>
      <w:pPr>
        <w:spacing w:after="120"/>
      </w:pPr>
      <w:r>
        <w:rPr>
          <w:rFonts w:ascii="Arial" w:cs="Arial" w:eastAsia="Arial" w:hAnsi="Arial"/>
          <w:b/>
          <w:bCs/>
          <w:color w:val="333333"/>
          <w:sz w:val="21"/>
          <w:szCs w:val="21"/>
        </w:rPr>
        <w:t xml:space="preserve">10. ✅ Operational health signals (COMPLETED): </w:t>
      </w:r>
      <w:r>
        <w:rPr>
          <w:rFonts w:ascii="Arial" w:cs="Arial" w:eastAsia="Arial" w:hAnsi="Arial"/>
          <w:color w:val="333333"/>
          <w:sz w:val="21"/>
          <w:szCs w:val="21"/>
        </w:rPr>
        <w:t xml:space="preserve">Added 4 new signal categories: (a) OIG/LEIE exclusion list monthly check — critical compliance signal, downloads federal CSV and cross-references active NPIs; (b) License renewal countdown — tiered alerts at 90/60/30 days before state license expiry; (c) Stale workflow detection — health scoring with 4-tier escalation and 90-day auto-cancel; (d) Correction packet completion tracking — auto-resolves packets when mismatches clear after sync. All registered in vercel.json cron schedules.</w:t>
      </w:r>
    </w:p>
    <w:p>
      <w:pPr>
        <w:spacing w:after="120"/>
      </w:pPr>
      <w:r>
        <w:rPr>
          <w:rFonts w:ascii="Arial" w:cs="Arial" w:eastAsia="Arial" w:hAnsi="Arial"/>
          <w:b/>
          <w:bCs/>
          <w:color w:val="333333"/>
          <w:sz w:val="21"/>
          <w:szCs w:val="21"/>
        </w:rPr>
        <w:t xml:space="preserve">11. ✅ Signal→workflow wiring fixes (COMPLETED): </w:t>
      </w:r>
      <w:r>
        <w:rPr>
          <w:rFonts w:ascii="Arial" w:cs="Arial" w:eastAsia="Arial" w:hAnsi="Arial"/>
          <w:color w:val="333333"/>
          <w:sz w:val="21"/>
          <w:szCs w:val="21"/>
        </w:rPr>
        <w:t xml:space="preserve">Fixed 3 broken signal→workflow links: (a) WF2 payer directory — added triggerPayerDirectoryWorkflows() to convert payer directory mismatches into payer_directory workflow instances with CAQH-aware task metadata; (b) WF4 departure — added triggerDepartureWorkflow() and wired it into scan-scheduler departure detection so marking a provider DEPARTED auto-creates a release workflow with 5-task off-boarding template; (c) WF5 license renewal — defined LICENSE_RENEWAL_TASKS template (review, submit renewal, update credentials, monitor) and wired the license-renewal cron to create license_renewal workflows at the 60-day mark.</w:t>
      </w:r>
    </w:p>
    <w:p>
      <w:pPr>
        <w:spacing w:after="120"/>
      </w:pPr>
      <w:r>
        <w:rPr>
          <w:rFonts w:ascii="Arial" w:cs="Arial" w:eastAsia="Arial" w:hAnsi="Arial"/>
          <w:b/>
          <w:bCs/>
          <w:color w:val="333333"/>
          <w:sz w:val="21"/>
          <w:szCs w:val="21"/>
        </w:rPr>
        <w:t xml:space="preserve">12. ✅ WF6 Compliance Scanner Integration (COMPLETED): </w:t>
      </w:r>
      <w:r>
        <w:rPr>
          <w:rFonts w:ascii="Arial" w:cs="Arial" w:eastAsia="Arial" w:hAnsi="Arial"/>
          <w:color w:val="333333"/>
          <w:sz w:val="21"/>
          <w:szCs w:val="21"/>
        </w:rPr>
        <w:t xml:space="preserve">Extracted compliance scanning engine from batch-scan-v2 (NPI integrity) and batch-scan-v3 (data sovereignty) CLI scripts into reusable library module lib/scanner/compliance-checks.ts. 13 checks across 3 categories: DR-01..05 (data sovereignty — IP geolocation, CDN detection, MX routing, sub-processor audit), AI-01..04 (AI transparency — disclosure text, dark patterns, diagnostic disclaimers, chatbot notices), ER-01..04 (clinical integrity — biological sex fields, parental portal access, metabolic health, forbidden data). Wired into scan-scheduler pipeline: each crawl cycle now runs compliance checks and feeds actionable findings into triggerComplianceWorkflows(), which creates compliance workflow instances grouped by category with the 3-task COMPLIANCE_TASKS template (review finding, apply remediation, rescan and confirm). Full signal→workflow path: scan → compliance check → finding → workflow → tasks → alerts → dashboard.</w:t>
      </w:r>
    </w:p>
    <w:p>
      <w:pPr>
        <w:spacing w:after="120" w:before="120"/>
      </w:pPr>
      <w:r>
        <w:rPr>
          <w:rFonts w:ascii="Arial" w:cs="Arial" w:eastAsia="Arial" w:hAnsi="Arial"/>
          <w:b/>
          <w:bCs/>
          <w:color w:val="333333"/>
          <w:sz w:val="21"/>
          <w:szCs w:val="21"/>
        </w:rPr>
        <w:t xml:space="preserve">13. ✅ PECOS Enrollment Verification (COMPLETED): </w:t>
      </w:r>
      <w:r>
        <w:rPr>
          <w:rFonts w:ascii="Arial" w:cs="Arial" w:eastAsia="Arial" w:hAnsi="Arial"/>
          <w:color w:val="333333"/>
          <w:sz w:val="21"/>
          <w:szCs w:val="21"/>
        </w:rPr>
        <w:t xml:space="preserve">Built lib/credentialing/pecos-verification.ts with single-NPI and batch verification functions against the provider_pecos table (461K TX+CA enrollment records). Wired into assessment-engine.ts (onboarding: checks Medicare enrollment status, generates PECOS reassignment or enrollment tasks) and departure-engine.ts (departure: confirms PECOS enrollment before generating termination task). Replaces ‘not_checked’ stubs with live data. Handles state coverage gaps gracefully — returns not_checked for states not yet in sync (currently TX and CA).</w:t>
      </w:r>
    </w:p>
    <w:p>
      <w:pPr>
        <w:spacing w:after="120" w:before="120"/>
      </w:pPr>
      <w:r>
        <w:rPr>
          <w:rFonts w:ascii="Arial" w:cs="Arial" w:eastAsia="Arial" w:hAnsi="Arial"/>
          <w:b/>
          <w:bCs/>
          <w:color w:val="333333"/>
          <w:sz w:val="21"/>
          <w:szCs w:val="21"/>
        </w:rPr>
        <w:t xml:space="preserve">14. ✅ Self-Service Reporting with CSV/PDF Export (COMPLETED): </w:t>
      </w:r>
      <w:r>
        <w:rPr>
          <w:rFonts w:ascii="Arial" w:cs="Arial" w:eastAsia="Arial" w:hAnsi="Arial"/>
          <w:color w:val="333333"/>
          <w:sz w:val="21"/>
          <w:szCs w:val="21"/>
        </w:rPr>
        <w:t xml:space="preserve">Replaced canned report cards with a self-service report builder architecture. New lib/reports/ module with report-definitions.ts (field catalog with 4 report types: Workflow Status, Audit Trail, Provider Data Accuracy, Compliance Findings) and query-engine.ts (dynamic Supabase queries with user-selected fields, filters, pagination, computed columns). New POST /api/reports/query endpoint accepts report_type, fields[], filters{}, sort, format (json/csv/pdf). CSV export streams RFC 4180 compliant output. PDF export uses jsPDF-autotable with branded KairoLogic headers and automatic pagination. Adding new report types requires only a definition object — no API or UI changes. Addresses 6-signal research gap for on-demand audit reporting.</w:t>
      </w:r>
    </w:p>
    <w:p>
      <w:pPr>
        <w:spacing w:after="120" w:before="120"/>
      </w:pPr>
      <w:r>
        <w:rPr>
          <w:rFonts w:ascii="Arial" w:cs="Arial" w:eastAsia="Arial" w:hAnsi="Arial"/>
          <w:b/>
          <w:bCs/>
          <w:color w:val="333333"/>
          <w:sz w:val="21"/>
          <w:szCs w:val="21"/>
        </w:rPr>
        <w:t xml:space="preserve">15. ✅ Free Trial Signup Flow (COMPLETED): </w:t>
      </w:r>
      <w:r>
        <w:rPr>
          <w:rFonts w:ascii="Arial" w:cs="Arial" w:eastAsia="Arial" w:hAnsi="Arial"/>
          <w:color w:val="333333"/>
          <w:sz w:val="21"/>
          <w:szCs w:val="21"/>
        </w:rPr>
        <w:t xml:space="preserve">Fixed end-to-end “Get Free Trial” and “Get Started” flow. Previously, the contact form only sent a notification email to compliance@ with no automation. New /api/trial/signup endpoint creates organization (trial_protect tier), starts 21-day reverse trial via trial-manager, generates dashboard access token (magic link), sends branded welcome email with dashboard URL, queues initial scan + payer sync, and sends internal notification. Contact form now calls the signup endpoint directly. Trial period changed from 14 to 21 days across all marketing pages, trial-manager, and email templates. Handles duplicate signups by resending magic link for active trials.</w:t>
      </w:r>
    </w:p>
    <w:p>
      <w:r>
        <w:br w:type="page"/>
      </w:r>
    </w:p>
    <w:p>
      <w:pPr>
        <w:pStyle w:val="Heading1"/>
        <w:spacing w:after="200" w:before="360"/>
      </w:pPr>
      <w:r>
        <w:rPr>
          <w:rFonts w:ascii="Arial" w:cs="Arial" w:eastAsia="Arial" w:hAnsi="Arial"/>
          <w:b/>
          <w:bCs/>
          <w:color w:val="1B4F72"/>
          <w:sz w:val="32"/>
          <w:szCs w:val="32"/>
        </w:rPr>
        <w:t xml:space="preserve">9. Signal Count Summary</w:t>
      </w:r>
    </w:p>
    <w:p>
      <w:pPr>
        <w:spacing w:after="120"/>
        <w:jc w:val="left"/>
      </w:pPr>
      <w:r>
        <w:rPr>
          <w:rFonts w:ascii="Arial" w:cs="Arial" w:eastAsia="Arial" w:hAnsi="Arial"/>
          <w:b w:val="false"/>
          <w:bCs w:val="false"/>
          <w:i w:val="false"/>
          <w:iCs w:val="false"/>
          <w:color w:val="333333"/>
          <w:sz w:val="21"/>
          <w:szCs w:val="21"/>
        </w:rPr>
        <w:t xml:space="preserve">Total unique signals monitored by the platform, organized by workflow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400"/>
        <w:gridCol w:w="2400"/>
      </w:tblGrid>
      <w:tr>
        <w:trPr>
          <w:tblHeader/>
        </w:trPr>
        <w:tc>
          <w:tcPr>
            <w:tcW w:type="dxa" w:w="2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Workflow</w:t>
            </w:r>
          </w:p>
        </w:tc>
        <w:tc>
          <w:tcPr>
            <w:tcW w:type="dxa" w:w="22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Signal Count</w:t>
            </w:r>
          </w:p>
        </w:tc>
        <w:tc>
          <w:tcPr>
            <w:tcW w:type="dxa" w:w="2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Auto-Confirmation Source</w:t>
            </w:r>
          </w:p>
        </w:tc>
        <w:tc>
          <w:tcPr>
            <w:tcW w:type="dxa" w:w="24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vAlign w:val="center"/>
          </w:tcPr>
          <w:p>
            <w:r>
              <w:rPr>
                <w:rFonts w:ascii="Arial" w:cs="Arial" w:eastAsia="Arial" w:hAnsi="Arial"/>
                <w:b/>
                <w:bCs/>
                <w:color w:val="FFFFFF"/>
                <w:sz w:val="18"/>
                <w:szCs w:val="18"/>
              </w:rPr>
              <w:t xml:space="preserve">Monitoring Cadence</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WF1: NPPES Update</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6 signals</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NPPES weekly delta sync</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Weekly</w:t>
            </w:r>
          </w:p>
        </w:tc>
      </w:tr>
      <w:tr>
        <w:tc>
          <w:tcPr>
            <w:tcW w:type="dxa" w:w="2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WF2: Payer Directory</w:t>
            </w:r>
          </w:p>
        </w:tc>
        <w:tc>
          <w:tcPr>
            <w:tcW w:type="dxa" w:w="2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5 signals × 6 payers = 30 instances</w:t>
            </w:r>
          </w:p>
        </w:tc>
        <w:tc>
          <w:tcPr>
            <w:tcW w:type="dxa" w:w="2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Payer FHIR API re-query</w:t>
            </w:r>
          </w:p>
        </w:tc>
        <w:tc>
          <w:tcPr>
            <w:tcW w:type="dxa" w:w="2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Weekly batch + on-demand</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WF3: Provider Onboarding</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2 signals + dynamic checklist</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NPPES, PECOS, payer FHIR, website scan</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Weekly across all sources</w:t>
            </w:r>
          </w:p>
        </w:tc>
      </w:tr>
      <w:tr>
        <w:tc>
          <w:tcPr>
            <w:tcW w:type="dxa" w:w="2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WF4: Provider Release</w:t>
            </w:r>
          </w:p>
        </w:tc>
        <w:tc>
          <w:tcPr>
            <w:tcW w:type="dxa" w:w="2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3 signals + departure checklist</w:t>
            </w:r>
          </w:p>
        </w:tc>
        <w:tc>
          <w:tcPr>
            <w:tcW w:type="dxa" w:w="2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NPPES, payer FHIR, website scan</w:t>
            </w:r>
          </w:p>
        </w:tc>
        <w:tc>
          <w:tcPr>
            <w:tcW w:type="dxa" w:w="2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Weekly for 90 days post-departure</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WF5: License Renewal</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9 signals</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State board data refresh</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Monthly</w:t>
            </w:r>
          </w:p>
        </w:tc>
      </w:tr>
      <w:tr>
        <w:tc>
          <w:tcPr>
            <w:tcW w:type="dxa" w:w="2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WF6: Compliance Remediation</w:t>
            </w:r>
          </w:p>
        </w:tc>
        <w:tc>
          <w:tcPr>
            <w:tcW w:type="dxa" w:w="2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13 signals</w:t>
            </w:r>
          </w:p>
        </w:tc>
        <w:tc>
          <w:tcPr>
            <w:tcW w:type="dxa" w:w="2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Website re-scan</w:t>
            </w:r>
          </w:p>
        </w:tc>
        <w:tc>
          <w:tcPr>
            <w:tcW w:type="dxa" w:w="24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Per scan cycle (weekly)</w:t>
            </w:r>
          </w:p>
        </w:tc>
      </w:tr>
      <w:tr>
        <w:tc>
          <w:tcPr>
            <w:tcW w:type="dxa" w:w="2400"/>
            <w:tcBorders>
              <w:top w:val="single" w:color="BDC3C7" w:sz="1"/>
              <w:left w:val="single" w:color="BDC3C7" w:sz="1"/>
              <w:bottom w:val="single" w:color="BDC3C7" w:sz="1"/>
              <w:right w:val="single" w:color="BDC3C7" w:sz="1"/>
            </w:tcBorders>
            <w:shd w:fill="E8F8F5" w:val="clear"/>
            <w:tcMar>
              <w:top w:type="dxa" w:w="60"/>
              <w:left w:type="dxa" w:w="100"/>
              <w:bottom w:type="dxa" w:w="60"/>
              <w:right w:type="dxa" w:w="100"/>
            </w:tcMar>
            <w:vAlign w:val="center"/>
          </w:tcPr>
          <w:p>
            <w:r>
              <w:rPr>
                <w:rFonts w:ascii="Arial" w:hAnsi="Arial"/>
                <w:b/>
                <w:sz w:val="18"/>
              </w:rPr>
              <w:t>Operational Health (NEW)</w:t>
            </w:r>
          </w:p>
        </w:tc>
        <w:tc>
          <w:tcPr>
            <w:tcW w:type="dxa" w:w="2200"/>
            <w:tcBorders>
              <w:top w:val="single" w:color="BDC3C7" w:sz="1"/>
              <w:left w:val="single" w:color="BDC3C7" w:sz="1"/>
              <w:bottom w:val="single" w:color="BDC3C7" w:sz="1"/>
              <w:right w:val="single" w:color="BDC3C7" w:sz="1"/>
            </w:tcBorders>
            <w:shd w:fill="E8F8F5" w:val="clear"/>
            <w:tcMar>
              <w:top w:type="dxa" w:w="60"/>
              <w:left w:type="dxa" w:w="100"/>
              <w:bottom w:type="dxa" w:w="60"/>
              <w:right w:type="dxa" w:w="100"/>
            </w:tcMar>
            <w:vAlign w:val="center"/>
          </w:tcPr>
          <w:p>
            <w:r>
              <w:rPr>
                <w:rFonts w:ascii="Arial" w:hAnsi="Arial"/>
                <w:sz w:val="18"/>
              </w:rPr>
              <w:t>4 signals</w:t>
            </w:r>
          </w:p>
        </w:tc>
        <w:tc>
          <w:tcPr>
            <w:tcW w:type="dxa" w:w="2400"/>
            <w:tcBorders>
              <w:top w:val="single" w:color="BDC3C7" w:sz="1"/>
              <w:left w:val="single" w:color="BDC3C7" w:sz="1"/>
              <w:bottom w:val="single" w:color="BDC3C7" w:sz="1"/>
              <w:right w:val="single" w:color="BDC3C7" w:sz="1"/>
            </w:tcBorders>
            <w:shd w:fill="E8F8F5" w:val="clear"/>
            <w:tcMar>
              <w:top w:type="dxa" w:w="60"/>
              <w:left w:type="dxa" w:w="100"/>
              <w:bottom w:type="dxa" w:w="60"/>
              <w:right w:type="dxa" w:w="100"/>
            </w:tcMar>
            <w:vAlign w:val="center"/>
          </w:tcPr>
          <w:p>
            <w:r>
              <w:rPr>
                <w:rFonts w:ascii="Arial" w:hAnsi="Arial"/>
                <w:sz w:val="18"/>
              </w:rPr>
              <w:t>OIG check, license countdown, stale WF, correction tracking</w:t>
            </w:r>
          </w:p>
        </w:tc>
        <w:tc>
          <w:tcPr>
            <w:tcW w:type="dxa" w:w="2400"/>
            <w:tcBorders>
              <w:top w:val="single" w:color="BDC3C7" w:sz="1"/>
              <w:left w:val="single" w:color="BDC3C7" w:sz="1"/>
              <w:bottom w:val="single" w:color="BDC3C7" w:sz="1"/>
              <w:right w:val="single" w:color="BDC3C7" w:sz="1"/>
            </w:tcBorders>
            <w:shd w:fill="E8F8F5" w:val="clear"/>
            <w:tcMar>
              <w:top w:type="dxa" w:w="60"/>
              <w:left w:type="dxa" w:w="100"/>
              <w:bottom w:type="dxa" w:w="60"/>
              <w:right w:type="dxa" w:w="100"/>
            </w:tcMar>
            <w:vAlign w:val="center"/>
          </w:tcPr>
          <w:p>
            <w:r>
              <w:rPr>
                <w:rFonts w:ascii="Arial" w:hAnsi="Arial"/>
                <w:sz w:val="18"/>
              </w:rPr>
              <w:t>Monthly / Weekly crons</w:t>
            </w:r>
          </w:p>
        </w:tc>
      </w:tr>
      <w:tr>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Total</w:t>
            </w:r>
          </w:p>
        </w:tc>
        <w:tc>
          <w:tcPr>
            <w:tcW w:type="dxa" w:w="2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42+ unique signal types</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6 auto-confirmation sources</w:t>
            </w:r>
          </w:p>
        </w:tc>
        <w:tc>
          <w:tcPr>
            <w:tcW w:type="dxa" w:w="2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r>
              <w:rPr>
                <w:rFonts w:ascii="Arial" w:cs="Arial" w:eastAsia="Arial" w:hAnsi="Arial"/>
                <w:b w:val="false"/>
                <w:bCs w:val="false"/>
                <w:color w:val="333333"/>
                <w:sz w:val="18"/>
                <w:szCs w:val="18"/>
              </w:rPr>
              <w:t xml:space="preserve">Continuous multi-cadence</w:t>
            </w:r>
          </w:p>
        </w:tc>
      </w:tr>
    </w:tbl>
    <w:p>
      <w:pPr>
        <w:spacing w:after="80"/>
      </w:pPr>
    </w:p>
    <w:p>
      <w:pPr>
        <w:spacing w:after="120"/>
        <w:jc w:val="left"/>
      </w:pPr>
      <w:r>
        <w:rPr>
          <w:rFonts w:ascii="Arial" w:cs="Arial" w:eastAsia="Arial" w:hAnsi="Arial"/>
          <w:b w:val="false"/>
          <w:bCs w:val="false"/>
          <w:i/>
          <w:iCs/>
          <w:color w:val="333333"/>
          <w:sz w:val="21"/>
          <w:szCs w:val="21"/>
        </w:rPr>
        <w:t xml:space="preserve">This document provides the complete product architecture for KairoLogic’s Practice Intelligence Platform. It should be used as the authoritative reference for signal definitions, workflow behavior, dashboard architecture, and validation criteria as the platform moves from MVP to production readiness.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KairoLogic Product Architecture</w:t>
    </w:r>
    <w:r>
      <w:rPr>
        <w:rFonts w:ascii="Arial" w:cs="Arial" w:eastAsia="Arial" w:hAnsi="Arial"/>
        <w:color w:val="CCCCCC"/>
        <w:sz w:val="16"/>
        <w:szCs w:val="16"/>
      </w:rPr>
      <w:t xml:space="preserve">  |  </w:t>
    </w:r>
    <w:r>
      <w:rPr>
        <w:rFonts w:ascii="Arial" w:cs="Arial" w:eastAsia="Arial" w:hAnsi="Arial"/>
        <w:i/>
        <w:iCs/>
        <w:color w:val="999999"/>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C3E50"/>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2E86C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2026-03-29T19:36:17.659Z</dcterms:created>
  <dcterms:modified xsi:type="dcterms:W3CDTF">2026-03-29T19:36:17.659Z</dcterms:modified>
</cp:coreProperties>
</file>

<file path=docProps/custom.xml><?xml version="1.0" encoding="utf-8"?>
<Properties xmlns="http://schemas.openxmlformats.org/officeDocument/2006/custom-properties" xmlns:vt="http://schemas.openxmlformats.org/officeDocument/2006/docPropsVTypes"/>
</file>