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0B1E3D"/>
          <w:sz w:val="48"/>
          <w:szCs w:val="48"/>
        </w:rPr>
        <w:t xml:space="preserve">KAIROLOGIC SENTRY</w:t>
      </w:r>
    </w:p>
    <w:p>
      <w:pPr>
        <w:spacing w:after="40"/>
        <w:jc w:val="center"/>
      </w:pPr>
      <w:r>
        <w:rPr>
          <w:rFonts w:ascii="Arial" w:cs="Arial" w:eastAsia="Arial" w:hAnsi="Arial"/>
          <w:color w:val="C8973F"/>
          <w:sz w:val="36"/>
          <w:szCs w:val="36"/>
        </w:rPr>
        <w:t xml:space="preserve">Production Readiness Plan</w:t>
      </w:r>
    </w:p>
    <w:p>
      <w:pPr>
        <w:spacing w:after="40"/>
        <w:jc w:val="center"/>
      </w:pPr>
      <w:r>
        <w:rPr>
          <w:rFonts w:ascii="Arial" w:cs="Arial" w:eastAsia="Arial" w:hAnsi="Arial"/>
          <w:color w:val="C8973F"/>
          <w:sz w:val="36"/>
          <w:szCs w:val="36"/>
        </w:rPr>
        <w:t xml:space="preserve">&amp; Archival Architecture</w:t>
      </w:r>
    </w:p>
    <w:p>
      <w:pPr>
        <w:spacing w:after="400"/>
      </w:pPr>
    </w:p>
    <w:p>
      <w:pPr>
        <w:pBdr>
          <w:bottom w:val="single" w:color="C8973F" w:sz="6" w:space="1"/>
        </w:pBdr>
        <w:spacing w:after="200"/>
        <w:jc w:val="center"/>
      </w:pPr>
    </w:p>
    <w:p>
      <w:pPr>
        <w:spacing w:after="200"/>
      </w:pPr>
    </w:p>
    <w:p>
      <w:pPr>
        <w:spacing w:after="80"/>
        <w:jc w:val="center"/>
      </w:pPr>
      <w:r>
        <w:rPr>
          <w:rFonts w:ascii="Arial" w:cs="Arial" w:eastAsia="Arial" w:hAnsi="Arial"/>
          <w:color w:val="5A6472"/>
          <w:sz w:val="22"/>
          <w:szCs w:val="22"/>
        </w:rPr>
        <w:t xml:space="preserve">Version 1.0  |  March 29, 2026</w:t>
      </w:r>
    </w:p>
    <w:p>
      <w:pPr>
        <w:spacing w:after="80"/>
        <w:jc w:val="center"/>
      </w:pPr>
      <w:r>
        <w:rPr>
          <w:rFonts w:ascii="Arial" w:cs="Arial" w:eastAsia="Arial" w:hAnsi="Arial"/>
          <w:color w:val="5A6472"/>
          <w:sz w:val="20"/>
          <w:szCs w:val="20"/>
        </w:rPr>
        <w:t xml:space="preserve">Classification: Internal / Engineering</w:t>
      </w:r>
    </w:p>
    <w:p>
      <w:pPr>
        <w:spacing w:after="80"/>
        <w:jc w:val="center"/>
      </w:pPr>
      <w:r>
        <w:rPr>
          <w:rFonts w:ascii="Arial" w:cs="Arial" w:eastAsia="Arial" w:hAnsi="Arial"/>
          <w:color w:val="5A6472"/>
          <w:sz w:val="20"/>
          <w:szCs w:val="20"/>
        </w:rPr>
        <w:t xml:space="preserve">Prepared by: KairoLogic Engineering</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B1E3D"/>
          <w:sz w:val="32"/>
          <w:szCs w:val="32"/>
        </w:rPr>
        <w:t xml:space="preserve">Executive Summary</w:t>
      </w:r>
    </w:p>
    <w:p>
      <w:pPr>
        <w:spacing w:after="120"/>
      </w:pPr>
      <w:r>
        <w:rPr>
          <w:rFonts w:ascii="Arial" w:cs="Arial" w:eastAsia="Arial" w:hAnsi="Arial"/>
          <w:color w:val="5A6472"/>
          <w:sz w:val="20"/>
          <w:szCs w:val="20"/>
        </w:rPr>
        <w:t xml:space="preserve">This document defines the production readiness plan for the KairoLogic Sentry dashboard platform. It covers four implementation tiers organized by priority: security hardening, stability and error handling, performance optimization, and testing with state scalability. Each tier contains specific findings from a comprehensive codebase audit, the architectural changes required, affected files, and the implementation sequence.</w:t>
      </w:r>
    </w:p>
    <w:p>
      <w:pPr>
        <w:spacing w:after="120"/>
      </w:pPr>
      <w:r>
        <w:rPr>
          <w:rFonts w:ascii="Arial" w:cs="Arial" w:eastAsia="Arial" w:hAnsi="Arial"/>
          <w:color w:val="5A6472"/>
          <w:sz w:val="20"/>
          <w:szCs w:val="20"/>
        </w:rPr>
        <w:t xml:space="preserve">A key architectural addition is the data archival system, which keeps the real-time dashboard dataset lean by automatically moving resolved workflows and historical data to archive tables after a defined retention period. Archived data remains accessible through the self-service reporting engine and a dedicated archive query interface, but does not load on the dashboard by default.</w:t>
      </w:r>
    </w:p>
    <w:p>
      <w:pPr>
        <w:spacing w:after="100"/>
      </w:pPr>
    </w:p>
    <w:p>
      <w:pPr>
        <w:pStyle w:val="Heading2"/>
        <w:spacing w:after="120" w:before="300"/>
      </w:pPr>
      <w:r>
        <w:rPr>
          <w:rFonts w:ascii="Arial" w:cs="Arial" w:eastAsia="Arial" w:hAnsi="Arial"/>
          <w:b/>
          <w:bCs/>
          <w:color w:val="0B1E3D"/>
          <w:sz w:val="26"/>
          <w:szCs w:val="26"/>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80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36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00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1</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Security Hardening</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Auth middleware, practice scoping, credential cleanup</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CRITICAL</w:t>
            </w:r>
          </w:p>
        </w:tc>
      </w:tr>
      <w:tr>
        <w:tc>
          <w:tcPr>
            <w:tcW w:type="dxa" w:w="120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2</w:t>
            </w:r>
          </w:p>
        </w:tc>
        <w:tc>
          <w:tcPr>
            <w:tcW w:type="dxa" w:w="280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Stability &amp; Error Handling</w:t>
            </w:r>
          </w:p>
        </w:tc>
        <w:tc>
          <w:tcPr>
            <w:tcW w:type="dxa" w:w="336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Error boundaries, loading states, query wrappers</w:t>
            </w:r>
          </w:p>
        </w:tc>
        <w:tc>
          <w:tcPr>
            <w:tcW w:type="dxa" w:w="200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HIGH</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3</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Performance &amp; Archival</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Parallel queries, archival engine, pagination, caching</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HIGH</w:t>
            </w:r>
          </w:p>
        </w:tc>
      </w:tr>
      <w:tr>
        <w:tc>
          <w:tcPr>
            <w:tcW w:type="dxa" w:w="120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4</w:t>
            </w:r>
          </w:p>
        </w:tc>
        <w:tc>
          <w:tcPr>
            <w:tcW w:type="dxa" w:w="280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Testing &amp; Scalability</w:t>
            </w:r>
          </w:p>
        </w:tc>
        <w:tc>
          <w:tcPr>
            <w:tcW w:type="dxa" w:w="336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Playwright test suite, state config registry, linting</w:t>
            </w:r>
          </w:p>
        </w:tc>
        <w:tc>
          <w:tcPr>
            <w:tcW w:type="dxa" w:w="200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MEDIUM</w:t>
            </w:r>
          </w:p>
        </w:tc>
      </w:tr>
    </w:tbl>
    <w:p>
      <w:pPr>
        <w:spacing w:after="100"/>
      </w:pPr>
    </w:p>
    <w:p>
      <w:r>
        <w:br w:type="page"/>
      </w:r>
    </w:p>
    <w:p>
      <w:pPr>
        <w:pStyle w:val="Heading1"/>
      </w:pPr>
      <w:r>
        <w:rPr>
          <w:rFonts w:ascii="Arial" w:cs="Arial" w:eastAsia="Arial" w:hAnsi="Arial"/>
          <w:b/>
          <w:bCs/>
          <w:color w:val="0B1E3D"/>
          <w:sz w:val="32"/>
          <w:szCs w:val="32"/>
        </w:rPr>
        <w:t xml:space="preserve">Tier 1: Security Hardening</w:t>
      </w:r>
    </w:p>
    <w:p>
      <w:pPr>
        <w:spacing w:after="120"/>
      </w:pPr>
      <w:r>
        <w:rPr>
          <w:rFonts w:ascii="Arial" w:cs="Arial" w:eastAsia="Arial" w:hAnsi="Arial"/>
          <w:color w:val="5A6472"/>
          <w:sz w:val="20"/>
          <w:szCs w:val="20"/>
        </w:rPr>
        <w:t xml:space="preserve">Security is the non-negotiable prerequisite for production. The audit identified critical gaps in API route authentication, practice ownership validation, and credential management that must be closed before any external traffic.</w:t>
      </w:r>
    </w:p>
    <w:p>
      <w:pPr>
        <w:pStyle w:val="Heading2"/>
        <w:spacing w:after="120" w:before="300"/>
      </w:pPr>
      <w:r>
        <w:rPr>
          <w:rFonts w:ascii="Arial" w:cs="Arial" w:eastAsia="Arial" w:hAnsi="Arial"/>
          <w:b/>
          <w:bCs/>
          <w:color w:val="0B1E3D"/>
          <w:sz w:val="26"/>
          <w:szCs w:val="26"/>
        </w:rPr>
        <w:t xml:space="preserve">1.1 API Route Authentication Middleware</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Multiple API routes accept a practice_id parameter and query the database without verifying the requesting user has access to that practice. The /api/admin/* routes have zero authentication. The password change endpoint at /api/settings/account/password accepts any user_id without verifying it matches the authenticated user.</w:t>
      </w:r>
    </w:p>
    <w:p>
      <w:pPr>
        <w:pStyle w:val="Heading3"/>
        <w:spacing w:after="80" w:before="240"/>
      </w:pPr>
      <w:r>
        <w:rPr>
          <w:rFonts w:ascii="Arial" w:cs="Arial" w:eastAsia="Arial" w:hAnsi="Arial"/>
          <w:b/>
          <w:bCs/>
          <w:color w:val="C8973F"/>
          <w:sz w:val="22"/>
          <w:szCs w:val="22"/>
        </w:rPr>
        <w:t xml:space="preserve">Architecture</w:t>
      </w:r>
    </w:p>
    <w:p>
      <w:pPr>
        <w:spacing w:after="120"/>
      </w:pPr>
      <w:r>
        <w:rPr>
          <w:rFonts w:ascii="Arial" w:cs="Arial" w:eastAsia="Arial" w:hAnsi="Arial"/>
          <w:color w:val="5A6472"/>
          <w:sz w:val="20"/>
          <w:szCs w:val="20"/>
        </w:rPr>
        <w:t xml:space="preserve">Create a shared withAuth(handler, options) higher-order function that wraps every dashboard API route. This middleware will:</w:t>
      </w:r>
    </w:p>
    <w:p>
      <w:pPr>
        <w:pStyle w:val="ListParagraph"/>
        <w:numPr>
          <w:ilvl w:val="0"/>
          <w:numId w:val="2"/>
        </w:numPr>
        <w:spacing w:after="60"/>
      </w:pPr>
      <w:r>
        <w:rPr>
          <w:rFonts w:ascii="Arial" w:cs="Arial" w:eastAsia="Arial" w:hAnsi="Arial"/>
          <w:color w:val="5A6472"/>
          <w:sz w:val="20"/>
          <w:szCs w:val="20"/>
        </w:rPr>
        <w:t xml:space="preserve">Verify the user is authenticated via Supabase session token</w:t>
      </w:r>
    </w:p>
    <w:p>
      <w:pPr>
        <w:pStyle w:val="ListParagraph"/>
        <w:numPr>
          <w:ilvl w:val="0"/>
          <w:numId w:val="2"/>
        </w:numPr>
        <w:spacing w:after="60"/>
      </w:pPr>
      <w:r>
        <w:rPr>
          <w:rFonts w:ascii="Arial" w:cs="Arial" w:eastAsia="Arial" w:hAnsi="Arial"/>
          <w:color w:val="5A6472"/>
          <w:sz w:val="20"/>
          <w:szCs w:val="20"/>
        </w:rPr>
        <w:t xml:space="preserve">Verify the user belongs to the organization that owns the requested practice_id</w:t>
      </w:r>
    </w:p>
    <w:p>
      <w:pPr>
        <w:pStyle w:val="ListParagraph"/>
        <w:numPr>
          <w:ilvl w:val="0"/>
          <w:numId w:val="2"/>
        </w:numPr>
        <w:spacing w:after="60"/>
      </w:pPr>
      <w:r>
        <w:rPr>
          <w:rFonts w:ascii="Arial" w:cs="Arial" w:eastAsia="Arial" w:hAnsi="Arial"/>
          <w:color w:val="5A6472"/>
          <w:sz w:val="20"/>
          <w:szCs w:val="20"/>
        </w:rPr>
        <w:t xml:space="preserve">For admin-only operations, verify the user role is admin</w:t>
      </w:r>
    </w:p>
    <w:p>
      <w:pPr>
        <w:pStyle w:val="ListParagraph"/>
        <w:numPr>
          <w:ilvl w:val="0"/>
          <w:numId w:val="2"/>
        </w:numPr>
        <w:spacing w:after="60"/>
      </w:pPr>
      <w:r>
        <w:rPr>
          <w:rFonts w:ascii="Arial" w:cs="Arial" w:eastAsia="Arial" w:hAnsi="Arial"/>
          <w:color w:val="5A6472"/>
          <w:sz w:val="20"/>
          <w:szCs w:val="20"/>
        </w:rPr>
        <w:t xml:space="preserve">Return a standardized 401/403 response on failure</w:t>
      </w:r>
    </w:p>
    <w:p>
      <w:pPr>
        <w:pStyle w:val="Heading3"/>
        <w:spacing w:after="80" w:before="240"/>
      </w:pPr>
      <w:r>
        <w:rPr>
          <w:rFonts w:ascii="Arial" w:cs="Arial" w:eastAsia="Arial" w:hAnsi="Arial"/>
          <w:b/>
          <w:bCs/>
          <w:color w:val="C8973F"/>
          <w:sz w:val="22"/>
          <w:szCs w:val="22"/>
        </w:rPr>
        <w:t xml:space="preserve">Affected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40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28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Issue</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api/settings/practice/route.ts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2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ownership check on practice_id</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api/settings/team/route.ts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2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ownership check</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api/settings/team/[id]/route.ts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2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DELETE/PATCH with zero auth</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api/settings/account/password/route.ts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2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Any user can change any password</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api/admin/bulk-scan/route.ts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2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auth check at all</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api/admin/practice-scan/route.ts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2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auth check at all</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api/admin/practice-add/route.ts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2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auth check at all</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api/admin/generate-asset/route.ts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32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Only checks header exists, not value</w:t>
            </w:r>
          </w:p>
        </w:tc>
      </w:tr>
    </w:tbl>
    <w:p>
      <w:pPr>
        <w:spacing w:after="80"/>
      </w:pP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3"/>
        </w:numPr>
        <w:spacing w:after="60"/>
      </w:pPr>
      <w:r>
        <w:rPr>
          <w:rFonts w:ascii="Arial" w:cs="Arial" w:eastAsia="Arial" w:hAnsi="Arial"/>
          <w:b/>
          <w:bCs/>
          <w:color w:val="0B1E3D"/>
          <w:sz w:val="20"/>
          <w:szCs w:val="20"/>
        </w:rPr>
        <w:t xml:space="preserve">New file: </w:t>
      </w:r>
      <w:r>
        <w:rPr>
          <w:rFonts w:ascii="Arial" w:cs="Arial" w:eastAsia="Arial" w:hAnsi="Arial"/>
          <w:color w:val="5A6472"/>
          <w:sz w:val="20"/>
          <w:szCs w:val="20"/>
        </w:rPr>
        <w:t xml:space="preserve">lib/auth/withAuth.ts — shared middleware wrapper</w:t>
      </w:r>
    </w:p>
    <w:p>
      <w:pPr>
        <w:pStyle w:val="ListParagraph"/>
        <w:numPr>
          <w:ilvl w:val="0"/>
          <w:numId w:val="3"/>
        </w:numPr>
        <w:spacing w:after="60"/>
      </w:pPr>
      <w:r>
        <w:rPr>
          <w:rFonts w:ascii="Arial" w:cs="Arial" w:eastAsia="Arial" w:hAnsi="Arial"/>
          <w:b/>
          <w:bCs/>
          <w:color w:val="0B1E3D"/>
          <w:sz w:val="20"/>
          <w:szCs w:val="20"/>
        </w:rPr>
        <w:t xml:space="preserve">New file: </w:t>
      </w:r>
      <w:r>
        <w:rPr>
          <w:rFonts w:ascii="Arial" w:cs="Arial" w:eastAsia="Arial" w:hAnsi="Arial"/>
          <w:color w:val="5A6472"/>
          <w:sz w:val="20"/>
          <w:szCs w:val="20"/>
        </w:rPr>
        <w:t xml:space="preserve">lib/auth/validatePracticeAccess.ts — practice ownership verification</w:t>
      </w:r>
    </w:p>
    <w:p>
      <w:pPr>
        <w:pStyle w:val="ListParagraph"/>
        <w:numPr>
          <w:ilvl w:val="0"/>
          <w:numId w:val="3"/>
        </w:numPr>
        <w:spacing w:after="60"/>
      </w:pPr>
      <w:r>
        <w:rPr>
          <w:rFonts w:ascii="Arial" w:cs="Arial" w:eastAsia="Arial" w:hAnsi="Arial"/>
          <w:color w:val="5A6472"/>
          <w:sz w:val="20"/>
          <w:szCs w:val="20"/>
        </w:rPr>
        <w:t xml:space="preserve">Wrap every api/settings/* and api/admin/* route with withAuth()</w:t>
      </w:r>
    </w:p>
    <w:p>
      <w:pPr>
        <w:pStyle w:val="ListParagraph"/>
        <w:numPr>
          <w:ilvl w:val="0"/>
          <w:numId w:val="3"/>
        </w:numPr>
        <w:spacing w:after="60"/>
      </w:pPr>
      <w:r>
        <w:rPr>
          <w:rFonts w:ascii="Arial" w:cs="Arial" w:eastAsia="Arial" w:hAnsi="Arial"/>
          <w:color w:val="5A6472"/>
          <w:sz w:val="20"/>
          <w:szCs w:val="20"/>
        </w:rPr>
        <w:t xml:space="preserve">Fix password endpoint to enforce user_id === authenticated user</w:t>
      </w:r>
    </w:p>
    <w:p>
      <w:pPr>
        <w:pStyle w:val="ListParagraph"/>
        <w:numPr>
          <w:ilvl w:val="0"/>
          <w:numId w:val="3"/>
        </w:numPr>
        <w:spacing w:after="60"/>
      </w:pPr>
      <w:r>
        <w:rPr>
          <w:rFonts w:ascii="Arial" w:cs="Arial" w:eastAsia="Arial" w:hAnsi="Arial"/>
          <w:color w:val="5A6472"/>
          <w:sz w:val="20"/>
          <w:szCs w:val="20"/>
        </w:rPr>
        <w:t xml:space="preserve">Add role checks (admin/editor/viewer) with granular permissions</w:t>
      </w:r>
    </w:p>
    <w:p>
      <w:pPr>
        <w:spacing w:after="100"/>
      </w:pPr>
    </w:p>
    <w:p>
      <w:pPr>
        <w:pStyle w:val="Heading2"/>
        <w:spacing w:after="120" w:before="300"/>
      </w:pPr>
      <w:r>
        <w:rPr>
          <w:rFonts w:ascii="Arial" w:cs="Arial" w:eastAsia="Arial" w:hAnsi="Arial"/>
          <w:b/>
          <w:bCs/>
          <w:color w:val="0B1E3D"/>
          <w:sz w:val="26"/>
          <w:szCs w:val="26"/>
        </w:rPr>
        <w:t xml:space="preserve">1.2 Credential Cleanup</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Hardcoded Supabase anon key fallback values are embedded directly in source code in api/widget/[npi]/route.ts and api/admin/bulk-scan/route.ts. While these are anon keys (not service role), they expose the Supabase project reference and are a security anti-pattern.</w:t>
      </w: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3"/>
        </w:numPr>
        <w:spacing w:after="60"/>
      </w:pPr>
      <w:r>
        <w:rPr>
          <w:rFonts w:ascii="Arial" w:cs="Arial" w:eastAsia="Arial" w:hAnsi="Arial"/>
          <w:color w:val="5A6472"/>
          <w:sz w:val="20"/>
          <w:szCs w:val="20"/>
        </w:rPr>
        <w:t xml:space="preserve">Remove all hardcoded JWT fallback strings from source</w:t>
      </w:r>
    </w:p>
    <w:p>
      <w:pPr>
        <w:pStyle w:val="ListParagraph"/>
        <w:numPr>
          <w:ilvl w:val="0"/>
          <w:numId w:val="3"/>
        </w:numPr>
        <w:spacing w:after="60"/>
      </w:pPr>
      <w:r>
        <w:rPr>
          <w:rFonts w:ascii="Arial" w:cs="Arial" w:eastAsia="Arial" w:hAnsi="Arial"/>
          <w:color w:val="5A6472"/>
          <w:sz w:val="20"/>
          <w:szCs w:val="20"/>
        </w:rPr>
        <w:t xml:space="preserve">Ensure all routes fail gracefully when env vars are missing (log + 500 response)</w:t>
      </w:r>
    </w:p>
    <w:p>
      <w:pPr>
        <w:pStyle w:val="ListParagraph"/>
        <w:numPr>
          <w:ilvl w:val="0"/>
          <w:numId w:val="3"/>
        </w:numPr>
        <w:spacing w:after="60"/>
      </w:pPr>
      <w:r>
        <w:rPr>
          <w:rFonts w:ascii="Arial" w:cs="Arial" w:eastAsia="Arial" w:hAnsi="Arial"/>
          <w:color w:val="5A6472"/>
          <w:sz w:val="20"/>
          <w:szCs w:val="20"/>
        </w:rPr>
        <w:t xml:space="preserve">Audit .env.example to confirm all required vars are documented</w:t>
      </w:r>
    </w:p>
    <w:p>
      <w:pPr>
        <w:spacing w:after="100"/>
      </w:pPr>
    </w:p>
    <w:p>
      <w:pPr>
        <w:pStyle w:val="Heading2"/>
        <w:spacing w:after="120" w:before="300"/>
      </w:pPr>
      <w:r>
        <w:rPr>
          <w:rFonts w:ascii="Arial" w:cs="Arial" w:eastAsia="Arial" w:hAnsi="Arial"/>
          <w:b/>
          <w:bCs/>
          <w:color w:val="0B1E3D"/>
          <w:sz w:val="26"/>
          <w:szCs w:val="26"/>
        </w:rPr>
        <w:t xml:space="preserve">1.3 SQL Injection Prevention</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The search query route at api/search/query/route.ts uses string interpolation to inject practice_id into SQL filter clauses. The regex-based SQL validation can be bypassed with subqueries, comments, or backtick escaping.</w:t>
      </w: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3"/>
        </w:numPr>
        <w:spacing w:after="60"/>
      </w:pPr>
      <w:r>
        <w:rPr>
          <w:rFonts w:ascii="Arial" w:cs="Arial" w:eastAsia="Arial" w:hAnsi="Arial"/>
          <w:color w:val="5A6472"/>
          <w:sz w:val="20"/>
          <w:szCs w:val="20"/>
        </w:rPr>
        <w:t xml:space="preserve">Replace string interpolation with parameterized queries using Supabase RPC or prepared statements</w:t>
      </w:r>
    </w:p>
    <w:p>
      <w:pPr>
        <w:pStyle w:val="ListParagraph"/>
        <w:numPr>
          <w:ilvl w:val="0"/>
          <w:numId w:val="3"/>
        </w:numPr>
        <w:spacing w:after="60"/>
      </w:pPr>
      <w:r>
        <w:rPr>
          <w:rFonts w:ascii="Arial" w:cs="Arial" w:eastAsia="Arial" w:hAnsi="Arial"/>
          <w:color w:val="5A6472"/>
          <w:sz w:val="20"/>
          <w:szCs w:val="20"/>
        </w:rPr>
        <w:t xml:space="preserve">Add input validation (UUID format check) for all practice_id and user_id parameters</w:t>
      </w:r>
    </w:p>
    <w:p>
      <w:pPr>
        <w:pStyle w:val="ListParagraph"/>
        <w:numPr>
          <w:ilvl w:val="0"/>
          <w:numId w:val="3"/>
        </w:numPr>
        <w:spacing w:after="60"/>
      </w:pPr>
      <w:r>
        <w:rPr>
          <w:rFonts w:ascii="Arial" w:cs="Arial" w:eastAsia="Arial" w:hAnsi="Arial"/>
          <w:color w:val="5A6472"/>
          <w:sz w:val="20"/>
          <w:szCs w:val="20"/>
        </w:rPr>
        <w:t xml:space="preserve">Consider replacing regex SQL validation with an allowlist-based query builder</w:t>
      </w:r>
    </w:p>
    <w:p>
      <w:pPr>
        <w:spacing w:after="100"/>
      </w:pPr>
    </w:p>
    <w:p>
      <w:pPr>
        <w:pStyle w:val="Heading2"/>
        <w:spacing w:after="120" w:before="300"/>
      </w:pPr>
      <w:r>
        <w:rPr>
          <w:rFonts w:ascii="Arial" w:cs="Arial" w:eastAsia="Arial" w:hAnsi="Arial"/>
          <w:b/>
          <w:bCs/>
          <w:color w:val="0B1E3D"/>
          <w:sz w:val="26"/>
          <w:szCs w:val="26"/>
        </w:rPr>
        <w:t xml:space="preserve">1.4 RLS Policy Review</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Anonymous users have full SELECT, INSERT, and UPDATE access to scan_results via overly permissive RLS policies defined in the v2 migration.</w:t>
      </w: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3"/>
        </w:numPr>
        <w:spacing w:after="60"/>
      </w:pPr>
      <w:r>
        <w:rPr>
          <w:rFonts w:ascii="Arial" w:cs="Arial" w:eastAsia="Arial" w:hAnsi="Arial"/>
          <w:color w:val="5A6472"/>
          <w:sz w:val="20"/>
          <w:szCs w:val="20"/>
        </w:rPr>
        <w:t xml:space="preserve">Restrict anon access to read-only on scan_results where practice is unclaimed</w:t>
      </w:r>
    </w:p>
    <w:p>
      <w:pPr>
        <w:pStyle w:val="ListParagraph"/>
        <w:numPr>
          <w:ilvl w:val="0"/>
          <w:numId w:val="3"/>
        </w:numPr>
        <w:spacing w:after="60"/>
      </w:pPr>
      <w:r>
        <w:rPr>
          <w:rFonts w:ascii="Arial" w:cs="Arial" w:eastAsia="Arial" w:hAnsi="Arial"/>
          <w:color w:val="5A6472"/>
          <w:sz w:val="20"/>
          <w:szCs w:val="20"/>
        </w:rPr>
        <w:t xml:space="preserve">Add organization-scoped RLS for authenticated users on all dashboard tables</w:t>
      </w:r>
    </w:p>
    <w:p>
      <w:pPr>
        <w:pStyle w:val="ListParagraph"/>
        <w:numPr>
          <w:ilvl w:val="0"/>
          <w:numId w:val="3"/>
        </w:numPr>
        <w:spacing w:after="60"/>
      </w:pPr>
      <w:r>
        <w:rPr>
          <w:rFonts w:ascii="Arial" w:cs="Arial" w:eastAsia="Arial" w:hAnsi="Arial"/>
          <w:color w:val="5A6472"/>
          <w:sz w:val="20"/>
          <w:szCs w:val="20"/>
        </w:rPr>
        <w:t xml:space="preserve">Audit all RLS policies across workflow_instances, alerts, practice_team_members</w:t>
      </w:r>
    </w:p>
    <w:p>
      <w:r>
        <w:br w:type="page"/>
      </w:r>
    </w:p>
    <w:p>
      <w:pPr>
        <w:pStyle w:val="Heading1"/>
      </w:pPr>
      <w:r>
        <w:rPr>
          <w:rFonts w:ascii="Arial" w:cs="Arial" w:eastAsia="Arial" w:hAnsi="Arial"/>
          <w:b/>
          <w:bCs/>
          <w:color w:val="0B1E3D"/>
          <w:sz w:val="32"/>
          <w:szCs w:val="32"/>
        </w:rPr>
        <w:t xml:space="preserve">Tier 2: Stability &amp; Error Handling</w:t>
      </w:r>
    </w:p>
    <w:p>
      <w:pPr>
        <w:spacing w:after="120"/>
      </w:pPr>
      <w:r>
        <w:rPr>
          <w:rFonts w:ascii="Arial" w:cs="Arial" w:eastAsia="Arial" w:hAnsi="Arial"/>
          <w:color w:val="5A6472"/>
          <w:sz w:val="20"/>
          <w:szCs w:val="20"/>
        </w:rPr>
        <w:t xml:space="preserve">Stability work ensures users never see a white screen or cryptic error. This tier adds error boundaries, loading skeletons, query wrappers, and standardized API error responses.</w:t>
      </w:r>
    </w:p>
    <w:p>
      <w:pPr>
        <w:pStyle w:val="Heading2"/>
        <w:spacing w:after="120" w:before="300"/>
      </w:pPr>
      <w:r>
        <w:rPr>
          <w:rFonts w:ascii="Arial" w:cs="Arial" w:eastAsia="Arial" w:hAnsi="Arial"/>
          <w:b/>
          <w:bCs/>
          <w:color w:val="0B1E3D"/>
          <w:sz w:val="26"/>
          <w:szCs w:val="26"/>
        </w:rPr>
        <w:t xml:space="preserve">2.1 Error Boundaries</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No error.tsx files exist anywhere in the application. A single runtime error in any server component crashes the page to the default Next.js error screen with no recovery path.</w:t>
      </w: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4"/>
        </w:numPr>
        <w:spacing w:after="60"/>
      </w:pPr>
      <w:r>
        <w:rPr>
          <w:rFonts w:ascii="Arial" w:cs="Arial" w:eastAsia="Arial" w:hAnsi="Arial"/>
          <w:color w:val="5A6472"/>
          <w:sz w:val="20"/>
          <w:szCs w:val="20"/>
        </w:rPr>
        <w:t xml:space="preserve">Create app/error.tsx — global fallback with KairoLogic branding and retry button</w:t>
      </w:r>
    </w:p>
    <w:p>
      <w:pPr>
        <w:pStyle w:val="ListParagraph"/>
        <w:numPr>
          <w:ilvl w:val="0"/>
          <w:numId w:val="4"/>
        </w:numPr>
        <w:spacing w:after="60"/>
      </w:pPr>
      <w:r>
        <w:rPr>
          <w:rFonts w:ascii="Arial" w:cs="Arial" w:eastAsia="Arial" w:hAnsi="Arial"/>
          <w:color w:val="5A6472"/>
          <w:sz w:val="20"/>
          <w:szCs w:val="20"/>
        </w:rPr>
        <w:t xml:space="preserve">Create app/(dashboard)/error.tsx — dashboard-specific error with navigation back to practice selector</w:t>
      </w:r>
    </w:p>
    <w:p>
      <w:pPr>
        <w:pStyle w:val="ListParagraph"/>
        <w:numPr>
          <w:ilvl w:val="0"/>
          <w:numId w:val="4"/>
        </w:numPr>
        <w:spacing w:after="60"/>
      </w:pPr>
      <w:r>
        <w:rPr>
          <w:rFonts w:ascii="Arial" w:cs="Arial" w:eastAsia="Arial" w:hAnsi="Arial"/>
          <w:color w:val="5A6472"/>
          <w:sz w:val="20"/>
          <w:szCs w:val="20"/>
        </w:rPr>
        <w:t xml:space="preserve">Create app/(dashboard)/practice/[id]/error.tsx — practice-level error with link to help page</w:t>
      </w:r>
    </w:p>
    <w:p>
      <w:pPr>
        <w:pStyle w:val="ListParagraph"/>
        <w:numPr>
          <w:ilvl w:val="0"/>
          <w:numId w:val="4"/>
        </w:numPr>
        <w:spacing w:after="60"/>
      </w:pPr>
      <w:r>
        <w:rPr>
          <w:rFonts w:ascii="Arial" w:cs="Arial" w:eastAsia="Arial" w:hAnsi="Arial"/>
          <w:color w:val="5A6472"/>
          <w:sz w:val="20"/>
          <w:szCs w:val="20"/>
        </w:rPr>
        <w:t xml:space="preserve">Each boundary logs the error to console and optionally to a future error tracking service (Sentry/LogRocket)</w:t>
      </w:r>
    </w:p>
    <w:p>
      <w:pPr>
        <w:spacing w:after="80"/>
      </w:pPr>
    </w:p>
    <w:p>
      <w:pPr>
        <w:pStyle w:val="Heading2"/>
        <w:spacing w:after="120" w:before="300"/>
      </w:pPr>
      <w:r>
        <w:rPr>
          <w:rFonts w:ascii="Arial" w:cs="Arial" w:eastAsia="Arial" w:hAnsi="Arial"/>
          <w:b/>
          <w:bCs/>
          <w:color w:val="0B1E3D"/>
          <w:sz w:val="26"/>
          <w:szCs w:val="26"/>
        </w:rPr>
        <w:t xml:space="preserve">2.2 Loading States</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No loading.tsx files exist. When the dashboard home page makes 6 sequential Supabase queries, users see a blank white screen until everything resolves. This is especially noticeable on slower connections.</w:t>
      </w: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3"/>
        </w:numPr>
        <w:spacing w:after="60"/>
      </w:pPr>
      <w:r>
        <w:rPr>
          <w:rFonts w:ascii="Arial" w:cs="Arial" w:eastAsia="Arial" w:hAnsi="Arial"/>
          <w:color w:val="5A6472"/>
          <w:sz w:val="20"/>
          <w:szCs w:val="20"/>
        </w:rPr>
        <w:t xml:space="preserve">Create loading.tsx skeleton loaders for: dashboard home, workflows, roster, alerts, payer directory, compliance</w:t>
      </w:r>
    </w:p>
    <w:p>
      <w:pPr>
        <w:pStyle w:val="ListParagraph"/>
        <w:numPr>
          <w:ilvl w:val="0"/>
          <w:numId w:val="3"/>
        </w:numPr>
        <w:spacing w:after="60"/>
      </w:pPr>
      <w:r>
        <w:rPr>
          <w:rFonts w:ascii="Arial" w:cs="Arial" w:eastAsia="Arial" w:hAnsi="Arial"/>
          <w:color w:val="5A6472"/>
          <w:sz w:val="20"/>
          <w:szCs w:val="20"/>
        </w:rPr>
        <w:t xml:space="preserve">Skeletons match the page layout with animated pulse placeholders for KPI cards, tables, and workflow lists</w:t>
      </w:r>
    </w:p>
    <w:p>
      <w:pPr>
        <w:pStyle w:val="ListParagraph"/>
        <w:numPr>
          <w:ilvl w:val="0"/>
          <w:numId w:val="3"/>
        </w:numPr>
        <w:spacing w:after="60"/>
      </w:pPr>
      <w:r>
        <w:rPr>
          <w:rFonts w:ascii="Arial" w:cs="Arial" w:eastAsia="Arial" w:hAnsi="Arial"/>
          <w:color w:val="5A6472"/>
          <w:sz w:val="20"/>
          <w:szCs w:val="20"/>
        </w:rPr>
        <w:t xml:space="preserve">Use the existing design tokens (colors.gray50, colors.gray200) for consistent skeleton styling</w:t>
      </w:r>
    </w:p>
    <w:p>
      <w:pPr>
        <w:spacing w:after="80"/>
      </w:pPr>
    </w:p>
    <w:p>
      <w:pPr>
        <w:pStyle w:val="Heading2"/>
        <w:spacing w:after="120" w:before="300"/>
      </w:pPr>
      <w:r>
        <w:rPr>
          <w:rFonts w:ascii="Arial" w:cs="Arial" w:eastAsia="Arial" w:hAnsi="Arial"/>
          <w:b/>
          <w:bCs/>
          <w:color w:val="0B1E3D"/>
          <w:sz w:val="26"/>
          <w:szCs w:val="26"/>
        </w:rPr>
        <w:t xml:space="preserve">2.3 Server Component Query Wrappers</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Every dashboard page.tsx makes Supabase queries without try/catch. There are 69 instances of .single() across the codebase that throw if no row is found, and many are not wrapped. If any query fails, the entire page crashes.</w:t>
      </w: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3"/>
        </w:numPr>
        <w:spacing w:after="60"/>
      </w:pPr>
      <w:r>
        <w:rPr>
          <w:rFonts w:ascii="Arial" w:cs="Arial" w:eastAsia="Arial" w:hAnsi="Arial"/>
          <w:b/>
          <w:bCs/>
          <w:color w:val="0B1E3D"/>
          <w:sz w:val="20"/>
          <w:szCs w:val="20"/>
        </w:rPr>
        <w:t xml:space="preserve">New file: </w:t>
      </w:r>
      <w:r>
        <w:rPr>
          <w:rFonts w:ascii="Arial" w:cs="Arial" w:eastAsia="Arial" w:hAnsi="Arial"/>
          <w:color w:val="5A6472"/>
          <w:sz w:val="20"/>
          <w:szCs w:val="20"/>
        </w:rPr>
        <w:t xml:space="preserve">lib/supabase/safe-query.ts — a wrapper that catches Supabase errors and returns typed fallback values</w:t>
      </w:r>
    </w:p>
    <w:p>
      <w:pPr>
        <w:pStyle w:val="ListParagraph"/>
        <w:numPr>
          <w:ilvl w:val="0"/>
          <w:numId w:val="3"/>
        </w:numPr>
        <w:spacing w:after="60"/>
      </w:pPr>
      <w:r>
        <w:rPr>
          <w:rFonts w:ascii="Arial" w:cs="Arial" w:eastAsia="Arial" w:hAnsi="Arial"/>
          <w:color w:val="5A6472"/>
          <w:sz w:val="20"/>
          <w:szCs w:val="20"/>
        </w:rPr>
        <w:t xml:space="preserve">Wrap all dashboard page queries with the safe query helper</w:t>
      </w:r>
    </w:p>
    <w:p>
      <w:pPr>
        <w:pStyle w:val="ListParagraph"/>
        <w:numPr>
          <w:ilvl w:val="0"/>
          <w:numId w:val="3"/>
        </w:numPr>
        <w:spacing w:after="60"/>
      </w:pPr>
      <w:r>
        <w:rPr>
          <w:rFonts w:ascii="Arial" w:cs="Arial" w:eastAsia="Arial" w:hAnsi="Arial"/>
          <w:color w:val="5A6472"/>
          <w:sz w:val="20"/>
          <w:szCs w:val="20"/>
        </w:rPr>
        <w:t xml:space="preserve">Add null checks after every .single() call</w:t>
      </w:r>
    </w:p>
    <w:p>
      <w:pPr>
        <w:pStyle w:val="ListParagraph"/>
        <w:numPr>
          <w:ilvl w:val="0"/>
          <w:numId w:val="3"/>
        </w:numPr>
        <w:spacing w:after="60"/>
      </w:pPr>
      <w:r>
        <w:rPr>
          <w:rFonts w:ascii="Arial" w:cs="Arial" w:eastAsia="Arial" w:hAnsi="Arial"/>
          <w:color w:val="5A6472"/>
          <w:sz w:val="20"/>
          <w:szCs w:val="20"/>
        </w:rPr>
        <w:t xml:space="preserve">For Promise.all() batches, check all result.error values (not just the first)</w:t>
      </w:r>
    </w:p>
    <w:p>
      <w:pPr>
        <w:spacing w:after="80"/>
      </w:pPr>
    </w:p>
    <w:p>
      <w:pPr>
        <w:pStyle w:val="Heading2"/>
        <w:spacing w:after="120" w:before="300"/>
      </w:pPr>
      <w:r>
        <w:rPr>
          <w:rFonts w:ascii="Arial" w:cs="Arial" w:eastAsia="Arial" w:hAnsi="Arial"/>
          <w:b/>
          <w:bCs/>
          <w:color w:val="0B1E3D"/>
          <w:sz w:val="26"/>
          <w:szCs w:val="26"/>
        </w:rPr>
        <w:t xml:space="preserve">2.4 Standardized API Error Response</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API routes return inconsistent error shapes: { error: "msg" }, { error: "msg", message: "verbose" }, or nested objects. This makes client-side error handling fragile.</w:t>
      </w: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3"/>
        </w:numPr>
        <w:spacing w:after="60"/>
      </w:pPr>
      <w:r>
        <w:rPr>
          <w:rFonts w:ascii="Arial" w:cs="Arial" w:eastAsia="Arial" w:hAnsi="Arial"/>
          <w:b/>
          <w:bCs/>
          <w:color w:val="0B1E3D"/>
          <w:sz w:val="20"/>
          <w:szCs w:val="20"/>
        </w:rPr>
        <w:t xml:space="preserve">New file: </w:t>
      </w:r>
      <w:r>
        <w:rPr>
          <w:rFonts w:ascii="Arial" w:cs="Arial" w:eastAsia="Arial" w:hAnsi="Arial"/>
          <w:color w:val="5A6472"/>
          <w:sz w:val="20"/>
          <w:szCs w:val="20"/>
        </w:rPr>
        <w:t xml:space="preserve">lib/api/error-response.ts — standard error builder</w:t>
      </w:r>
    </w:p>
    <w:p>
      <w:pPr>
        <w:pStyle w:val="ListParagraph"/>
        <w:numPr>
          <w:ilvl w:val="0"/>
          <w:numId w:val="3"/>
        </w:numPr>
        <w:spacing w:after="60"/>
      </w:pPr>
      <w:r>
        <w:rPr>
          <w:rFonts w:ascii="Arial" w:cs="Arial" w:eastAsia="Arial" w:hAnsi="Arial"/>
          <w:color w:val="5A6472"/>
          <w:sz w:val="20"/>
          <w:szCs w:val="20"/>
        </w:rPr>
        <w:t xml:space="preserve">Standard shape: { error: { code: string, message: string, details?: any } }</w:t>
      </w:r>
    </w:p>
    <w:p>
      <w:pPr>
        <w:pStyle w:val="ListParagraph"/>
        <w:numPr>
          <w:ilvl w:val="0"/>
          <w:numId w:val="3"/>
        </w:numPr>
        <w:spacing w:after="60"/>
      </w:pPr>
      <w:r>
        <w:rPr>
          <w:rFonts w:ascii="Arial" w:cs="Arial" w:eastAsia="Arial" w:hAnsi="Arial"/>
          <w:color w:val="5A6472"/>
          <w:sz w:val="20"/>
          <w:szCs w:val="20"/>
        </w:rPr>
        <w:t xml:space="preserve">HTTP status codes: 400 (validation), 401 (not authenticated), 403 (not authorized), 404 (not found), 500 (server error)</w:t>
      </w:r>
    </w:p>
    <w:p>
      <w:pPr>
        <w:pStyle w:val="ListParagraph"/>
        <w:numPr>
          <w:ilvl w:val="0"/>
          <w:numId w:val="3"/>
        </w:numPr>
        <w:spacing w:after="60"/>
      </w:pPr>
      <w:r>
        <w:rPr>
          <w:rFonts w:ascii="Arial" w:cs="Arial" w:eastAsia="Arial" w:hAnsi="Arial"/>
          <w:color w:val="5A6472"/>
          <w:sz w:val="20"/>
          <w:szCs w:val="20"/>
        </w:rPr>
        <w:t xml:space="preserve">All API routes updated to use the shared error builder</w:t>
      </w:r>
    </w:p>
    <w:p>
      <w:r>
        <w:br w:type="page"/>
      </w:r>
    </w:p>
    <w:p>
      <w:pPr>
        <w:pStyle w:val="Heading1"/>
      </w:pPr>
      <w:r>
        <w:rPr>
          <w:rFonts w:ascii="Arial" w:cs="Arial" w:eastAsia="Arial" w:hAnsi="Arial"/>
          <w:b/>
          <w:bCs/>
          <w:color w:val="0B1E3D"/>
          <w:sz w:val="32"/>
          <w:szCs w:val="32"/>
        </w:rPr>
        <w:t xml:space="preserve">Tier 3: Performance &amp; Archival Architecture</w:t>
      </w:r>
    </w:p>
    <w:p>
      <w:pPr>
        <w:spacing w:after="120"/>
      </w:pPr>
      <w:r>
        <w:rPr>
          <w:rFonts w:ascii="Arial" w:cs="Arial" w:eastAsia="Arial" w:hAnsi="Arial"/>
          <w:color w:val="5A6472"/>
          <w:sz w:val="20"/>
          <w:szCs w:val="20"/>
        </w:rPr>
        <w:t xml:space="preserve">This tier addresses the core scalability concern: as practices accumulate hundreds or thousands of resolved workflows over months and years, the dashboard must remain fast by keeping the real-time dataset minimal. Resolved and historical data moves to archive tables and is accessible only through reporting and explicit queries.</w:t>
      </w:r>
    </w:p>
    <w:p>
      <w:pPr>
        <w:pStyle w:val="Heading2"/>
        <w:spacing w:after="120" w:before="300"/>
      </w:pPr>
      <w:r>
        <w:rPr>
          <w:rFonts w:ascii="Arial" w:cs="Arial" w:eastAsia="Arial" w:hAnsi="Arial"/>
          <w:b/>
          <w:bCs/>
          <w:color w:val="0B1E3D"/>
          <w:sz w:val="26"/>
          <w:szCs w:val="26"/>
        </w:rPr>
        <w:t xml:space="preserve">3.1 Archival Architecture</w:t>
      </w:r>
    </w:p>
    <w:p>
      <w:pPr>
        <w:pStyle w:val="Heading3"/>
        <w:spacing w:after="80" w:before="240"/>
      </w:pPr>
      <w:r>
        <w:rPr>
          <w:rFonts w:ascii="Arial" w:cs="Arial" w:eastAsia="Arial" w:hAnsi="Arial"/>
          <w:b/>
          <w:bCs/>
          <w:color w:val="C8973F"/>
          <w:sz w:val="22"/>
          <w:szCs w:val="22"/>
        </w:rPr>
        <w:t xml:space="preserve">Design Principles</w:t>
      </w:r>
    </w:p>
    <w:p>
      <w:pPr>
        <w:pStyle w:val="ListParagraph"/>
        <w:numPr>
          <w:ilvl w:val="0"/>
          <w:numId w:val="5"/>
        </w:numPr>
        <w:spacing w:after="60"/>
      </w:pPr>
      <w:r>
        <w:rPr>
          <w:rFonts w:ascii="Arial" w:cs="Arial" w:eastAsia="Arial" w:hAnsi="Arial"/>
          <w:color w:val="5A6472"/>
          <w:sz w:val="20"/>
          <w:szCs w:val="20"/>
        </w:rPr>
        <w:t xml:space="preserve">The real-time dashboard shows only the active working set: open, in-progress, and recently-resolved workflows within a configurable retention window (default: 90 days after resolution)</w:t>
      </w:r>
    </w:p>
    <w:p>
      <w:pPr>
        <w:pStyle w:val="ListParagraph"/>
        <w:numPr>
          <w:ilvl w:val="0"/>
          <w:numId w:val="5"/>
        </w:numPr>
        <w:spacing w:after="60"/>
      </w:pPr>
      <w:r>
        <w:rPr>
          <w:rFonts w:ascii="Arial" w:cs="Arial" w:eastAsia="Arial" w:hAnsi="Arial"/>
          <w:color w:val="5A6472"/>
          <w:sz w:val="20"/>
          <w:szCs w:val="20"/>
        </w:rPr>
        <w:t xml:space="preserve">Archived data is never deleted — it moves to parallel archive tables partitioned by quarter</w:t>
      </w:r>
    </w:p>
    <w:p>
      <w:pPr>
        <w:pStyle w:val="ListParagraph"/>
        <w:numPr>
          <w:ilvl w:val="0"/>
          <w:numId w:val="5"/>
        </w:numPr>
        <w:spacing w:after="60"/>
      </w:pPr>
      <w:r>
        <w:rPr>
          <w:rFonts w:ascii="Arial" w:cs="Arial" w:eastAsia="Arial" w:hAnsi="Arial"/>
          <w:color w:val="5A6472"/>
          <w:sz w:val="20"/>
          <w:szCs w:val="20"/>
        </w:rPr>
        <w:t xml:space="preserve">The self-service reporting engine queries across both live and archive tables transparently</w:t>
      </w:r>
    </w:p>
    <w:p>
      <w:pPr>
        <w:pStyle w:val="ListParagraph"/>
        <w:numPr>
          <w:ilvl w:val="0"/>
          <w:numId w:val="5"/>
        </w:numPr>
        <w:spacing w:after="60"/>
      </w:pPr>
      <w:r>
        <w:rPr>
          <w:rFonts w:ascii="Arial" w:cs="Arial" w:eastAsia="Arial" w:hAnsi="Arial"/>
          <w:color w:val="5A6472"/>
          <w:sz w:val="20"/>
          <w:szCs w:val="20"/>
        </w:rPr>
        <w:t xml:space="preserve">Users can explicitly browse historical data through a dedicated Archive section in the dashboard</w:t>
      </w:r>
    </w:p>
    <w:p>
      <w:pPr>
        <w:spacing w:after="80"/>
      </w:pPr>
    </w:p>
    <w:p>
      <w:pPr>
        <w:pStyle w:val="Heading3"/>
        <w:spacing w:after="80" w:before="240"/>
      </w:pPr>
      <w:r>
        <w:rPr>
          <w:rFonts w:ascii="Arial" w:cs="Arial" w:eastAsia="Arial" w:hAnsi="Arial"/>
          <w:b/>
          <w:bCs/>
          <w:color w:val="C8973F"/>
          <w:sz w:val="22"/>
          <w:szCs w:val="22"/>
        </w:rPr>
        <w:t xml:space="preserve">Data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00"/>
        <w:gridCol w:w="2660"/>
      </w:tblGrid>
      <w:tr>
        <w:tc>
          <w:tcPr>
            <w:tcW w:type="dxa" w:w="220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80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c>
          <w:tcPr>
            <w:tcW w:type="dxa" w:w="270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66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Access Method</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Active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Indefinite while open</w:t>
            </w:r>
          </w:p>
        </w:tc>
        <w:tc>
          <w:tcPr>
            <w:tcW w:type="dxa" w:w="2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workflow_instances</w:t>
            </w:r>
          </w:p>
        </w:tc>
        <w:tc>
          <w:tcPr>
            <w:tcW w:type="dxa" w:w="2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Dashboard (real-time)</w:t>
            </w:r>
          </w:p>
        </w:tc>
      </w:tr>
      <w:tr>
        <w:tc>
          <w:tcPr>
            <w:tcW w:type="dxa" w:w="220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Recently Resolved</w:t>
            </w:r>
          </w:p>
        </w:tc>
        <w:tc>
          <w:tcPr>
            <w:tcW w:type="dxa" w:w="180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90 days post-resolve</w:t>
            </w:r>
          </w:p>
        </w:tc>
        <w:tc>
          <w:tcPr>
            <w:tcW w:type="dxa" w:w="270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workflow_instances</w:t>
            </w:r>
          </w:p>
        </w:tc>
        <w:tc>
          <w:tcPr>
            <w:tcW w:type="dxa" w:w="266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Dashboard (real-time)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Archived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Indefinite</w:t>
            </w:r>
          </w:p>
        </w:tc>
        <w:tc>
          <w:tcPr>
            <w:tcW w:type="dxa" w:w="2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workflow_instances_archive</w:t>
            </w:r>
          </w:p>
        </w:tc>
        <w:tc>
          <w:tcPr>
            <w:tcW w:type="dxa" w:w="2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Reports / Archive browser</w:t>
            </w:r>
          </w:p>
        </w:tc>
      </w:tr>
    </w:tbl>
    <w:p>
      <w:pPr>
        <w:spacing w:after="80"/>
      </w:pPr>
    </w:p>
    <w:p>
      <w:pPr>
        <w:pStyle w:val="Heading3"/>
        <w:spacing w:after="80" w:before="240"/>
      </w:pPr>
      <w:r>
        <w:rPr>
          <w:rFonts w:ascii="Arial" w:cs="Arial" w:eastAsia="Arial" w:hAnsi="Arial"/>
          <w:b/>
          <w:bCs/>
          <w:color w:val="C8973F"/>
          <w:sz w:val="22"/>
          <w:szCs w:val="22"/>
        </w:rPr>
        <w:t xml:space="preserve">Archive Tables</w:t>
      </w:r>
    </w:p>
    <w:p>
      <w:pPr>
        <w:spacing w:after="120"/>
      </w:pPr>
      <w:r>
        <w:rPr>
          <w:rFonts w:ascii="Arial" w:cs="Arial" w:eastAsia="Arial" w:hAnsi="Arial"/>
          <w:color w:val="5A6472"/>
          <w:sz w:val="20"/>
          <w:szCs w:val="20"/>
        </w:rPr>
        <w:t xml:space="preserve">Each archivable table gets a parallel _archive table with identical schema plus archive metadata:</w:t>
      </w:r>
    </w:p>
    <w:p>
      <w:pPr>
        <w:pStyle w:val="ListParagraph"/>
        <w:numPr>
          <w:ilvl w:val="0"/>
          <w:numId w:val="3"/>
        </w:numPr>
        <w:spacing w:after="60"/>
      </w:pPr>
      <w:r>
        <w:rPr>
          <w:rFonts w:ascii="Arial" w:cs="Arial" w:eastAsia="Arial" w:hAnsi="Arial"/>
          <w:color w:val="5A6472"/>
          <w:sz w:val="20"/>
          <w:szCs w:val="20"/>
        </w:rPr>
        <w:t xml:space="preserve">workflow_instances_archive — resolved/cancelled workflows past retention window</w:t>
      </w:r>
    </w:p>
    <w:p>
      <w:pPr>
        <w:pStyle w:val="ListParagraph"/>
        <w:numPr>
          <w:ilvl w:val="0"/>
          <w:numId w:val="3"/>
        </w:numPr>
        <w:spacing w:after="60"/>
      </w:pPr>
      <w:r>
        <w:rPr>
          <w:rFonts w:ascii="Arial" w:cs="Arial" w:eastAsia="Arial" w:hAnsi="Arial"/>
          <w:color w:val="5A6472"/>
          <w:sz w:val="20"/>
          <w:szCs w:val="20"/>
        </w:rPr>
        <w:t xml:space="preserve">workflow_tasks_archive — tasks belonging to archived workflows</w:t>
      </w:r>
    </w:p>
    <w:p>
      <w:pPr>
        <w:pStyle w:val="ListParagraph"/>
        <w:numPr>
          <w:ilvl w:val="0"/>
          <w:numId w:val="3"/>
        </w:numPr>
        <w:spacing w:after="60"/>
      </w:pPr>
      <w:r>
        <w:rPr>
          <w:rFonts w:ascii="Arial" w:cs="Arial" w:eastAsia="Arial" w:hAnsi="Arial"/>
          <w:color w:val="5A6472"/>
          <w:sz w:val="20"/>
          <w:szCs w:val="20"/>
        </w:rPr>
        <w:t xml:space="preserve">workflow_events_archive — audit trail events for archived workflows</w:t>
      </w:r>
    </w:p>
    <w:p>
      <w:pPr>
        <w:pStyle w:val="ListParagraph"/>
        <w:numPr>
          <w:ilvl w:val="0"/>
          <w:numId w:val="3"/>
        </w:numPr>
        <w:spacing w:after="60"/>
      </w:pPr>
      <w:r>
        <w:rPr>
          <w:rFonts w:ascii="Arial" w:cs="Arial" w:eastAsia="Arial" w:hAnsi="Arial"/>
          <w:color w:val="5A6472"/>
          <w:sz w:val="20"/>
          <w:szCs w:val="20"/>
        </w:rPr>
        <w:t xml:space="preserve">alerts_archive — resolved alerts past retention window</w:t>
      </w:r>
    </w:p>
    <w:p>
      <w:pPr>
        <w:pStyle w:val="ListParagraph"/>
        <w:numPr>
          <w:ilvl w:val="0"/>
          <w:numId w:val="3"/>
        </w:numPr>
        <w:spacing w:after="60"/>
      </w:pPr>
      <w:r>
        <w:rPr>
          <w:rFonts w:ascii="Arial" w:cs="Arial" w:eastAsia="Arial" w:hAnsi="Arial"/>
          <w:color w:val="5A6472"/>
          <w:sz w:val="20"/>
          <w:szCs w:val="20"/>
        </w:rPr>
        <w:t xml:space="preserve">payer_directory_snapshots_archive — historical payer snapshots beyond 6-month window</w:t>
      </w:r>
    </w:p>
    <w:p>
      <w:pPr>
        <w:spacing w:after="60"/>
      </w:pPr>
    </w:p>
    <w:p>
      <w:pPr>
        <w:spacing w:after="120"/>
      </w:pPr>
      <w:r>
        <w:rPr>
          <w:rFonts w:ascii="Arial" w:cs="Arial" w:eastAsia="Arial" w:hAnsi="Arial"/>
          <w:color w:val="5A6472"/>
          <w:sz w:val="20"/>
          <w:szCs w:val="20"/>
        </w:rPr>
        <w:t xml:space="preserve">Each archive table adds: archived_at (timestamp), archive_quarter (e.g., "2026-Q1"), and archived_by (system or user_id).</w:t>
      </w:r>
    </w:p>
    <w:p>
      <w:pPr>
        <w:spacing w:after="80"/>
      </w:pPr>
    </w:p>
    <w:p>
      <w:pPr>
        <w:pStyle w:val="Heading3"/>
        <w:spacing w:after="80" w:before="240"/>
      </w:pPr>
      <w:r>
        <w:rPr>
          <w:rFonts w:ascii="Arial" w:cs="Arial" w:eastAsia="Arial" w:hAnsi="Arial"/>
          <w:b/>
          <w:bCs/>
          <w:color w:val="C8973F"/>
          <w:sz w:val="22"/>
          <w:szCs w:val="22"/>
        </w:rPr>
        <w:t xml:space="preserve">Archive Engine</w:t>
      </w:r>
    </w:p>
    <w:p>
      <w:pPr>
        <w:spacing w:after="80"/>
      </w:pPr>
      <w:r>
        <w:rPr>
          <w:rFonts w:ascii="Arial" w:cs="Arial" w:eastAsia="Arial" w:hAnsi="Arial"/>
          <w:b/>
          <w:bCs/>
          <w:color w:val="0B1E3D"/>
          <w:sz w:val="20"/>
          <w:szCs w:val="20"/>
        </w:rPr>
        <w:t xml:space="preserve">New file: lib/archival/archive-engine.ts</w:t>
      </w:r>
    </w:p>
    <w:p>
      <w:pPr>
        <w:spacing w:after="120"/>
      </w:pPr>
      <w:r>
        <w:rPr>
          <w:rFonts w:ascii="Arial" w:cs="Arial" w:eastAsia="Arial" w:hAnsi="Arial"/>
          <w:color w:val="5A6472"/>
          <w:sz w:val="20"/>
          <w:szCs w:val="20"/>
        </w:rPr>
        <w:t xml:space="preserve">The archive engine runs as a scheduled job (daily via GitHub Actions cron or Vercel cron) and performs the following:</w:t>
      </w:r>
    </w:p>
    <w:p>
      <w:pPr>
        <w:pStyle w:val="ListParagraph"/>
        <w:numPr>
          <w:ilvl w:val="0"/>
          <w:numId w:val="6"/>
        </w:numPr>
        <w:spacing w:after="60"/>
      </w:pPr>
      <w:r>
        <w:rPr>
          <w:rFonts w:ascii="Arial" w:cs="Arial" w:eastAsia="Arial" w:hAnsi="Arial"/>
          <w:color w:val="5A6472"/>
          <w:sz w:val="20"/>
          <w:szCs w:val="20"/>
        </w:rPr>
        <w:t xml:space="preserve">Query workflow_instances WHERE status IN (resolved, cancelled) AND updated_at &lt; NOW() - retention_period</w:t>
      </w:r>
    </w:p>
    <w:p>
      <w:pPr>
        <w:pStyle w:val="ListParagraph"/>
        <w:numPr>
          <w:ilvl w:val="0"/>
          <w:numId w:val="6"/>
        </w:numPr>
        <w:spacing w:after="60"/>
      </w:pPr>
      <w:r>
        <w:rPr>
          <w:rFonts w:ascii="Arial" w:cs="Arial" w:eastAsia="Arial" w:hAnsi="Arial"/>
          <w:color w:val="5A6472"/>
          <w:sz w:val="20"/>
          <w:szCs w:val="20"/>
        </w:rPr>
        <w:t xml:space="preserve">For each qualifying workflow: INSERT into workflow_instances_archive (with archive metadata), then INSERT related tasks and events into their archive tables</w:t>
      </w:r>
    </w:p>
    <w:p>
      <w:pPr>
        <w:pStyle w:val="ListParagraph"/>
        <w:numPr>
          <w:ilvl w:val="0"/>
          <w:numId w:val="6"/>
        </w:numPr>
        <w:spacing w:after="60"/>
      </w:pPr>
      <w:r>
        <w:rPr>
          <w:rFonts w:ascii="Arial" w:cs="Arial" w:eastAsia="Arial" w:hAnsi="Arial"/>
          <w:color w:val="5A6472"/>
          <w:sz w:val="20"/>
          <w:szCs w:val="20"/>
        </w:rPr>
        <w:t xml:space="preserve">DELETE the archived rows from the live tables in a single transaction</w:t>
      </w:r>
    </w:p>
    <w:p>
      <w:pPr>
        <w:pStyle w:val="ListParagraph"/>
        <w:numPr>
          <w:ilvl w:val="0"/>
          <w:numId w:val="6"/>
        </w:numPr>
        <w:spacing w:after="60"/>
      </w:pPr>
      <w:r>
        <w:rPr>
          <w:rFonts w:ascii="Arial" w:cs="Arial" w:eastAsia="Arial" w:hAnsi="Arial"/>
          <w:color w:val="5A6472"/>
          <w:sz w:val="20"/>
          <w:szCs w:val="20"/>
        </w:rPr>
        <w:t xml:space="preserve">Log the archival operation to workflow_events as an audit record</w:t>
      </w:r>
    </w:p>
    <w:p>
      <w:pPr>
        <w:spacing w:after="60"/>
      </w:pPr>
    </w:p>
    <w:p>
      <w:pPr>
        <w:spacing w:after="80"/>
      </w:pPr>
      <w:r>
        <w:rPr>
          <w:rFonts w:ascii="Arial" w:cs="Arial" w:eastAsia="Arial" w:hAnsi="Arial"/>
          <w:b/>
          <w:bCs/>
          <w:color w:val="0B1E3D"/>
          <w:sz w:val="20"/>
          <w:szCs w:val="20"/>
        </w:rPr>
        <w:t xml:space="preserve">New file: lib/archival/archive-config.ts</w:t>
      </w:r>
    </w:p>
    <w:p>
      <w:pPr>
        <w:spacing w:after="120"/>
      </w:pPr>
      <w:r>
        <w:rPr>
          <w:rFonts w:ascii="Arial" w:cs="Arial" w:eastAsia="Arial" w:hAnsi="Arial"/>
          <w:color w:val="5A6472"/>
          <w:sz w:val="20"/>
          <w:szCs w:val="20"/>
        </w:rPr>
        <w:t xml:space="preserve">Configurable retention periods per data type:</w:t>
      </w:r>
    </w:p>
    <w:p>
      <w:pPr>
        <w:pStyle w:val="ListParagraph"/>
        <w:numPr>
          <w:ilvl w:val="0"/>
          <w:numId w:val="3"/>
        </w:numPr>
        <w:spacing w:after="60"/>
      </w:pPr>
      <w:r>
        <w:rPr>
          <w:rFonts w:ascii="Arial" w:cs="Arial" w:eastAsia="Arial" w:hAnsi="Arial"/>
          <w:color w:val="5A6472"/>
          <w:sz w:val="20"/>
          <w:szCs w:val="20"/>
        </w:rPr>
        <w:t xml:space="preserve">Workflows: 90 days after resolution (configurable per practice tier)</w:t>
      </w:r>
    </w:p>
    <w:p>
      <w:pPr>
        <w:pStyle w:val="ListParagraph"/>
        <w:numPr>
          <w:ilvl w:val="0"/>
          <w:numId w:val="3"/>
        </w:numPr>
        <w:spacing w:after="60"/>
      </w:pPr>
      <w:r>
        <w:rPr>
          <w:rFonts w:ascii="Arial" w:cs="Arial" w:eastAsia="Arial" w:hAnsi="Arial"/>
          <w:color w:val="5A6472"/>
          <w:sz w:val="20"/>
          <w:szCs w:val="20"/>
        </w:rPr>
        <w:t xml:space="preserve">Alerts: 60 days after resolution</w:t>
      </w:r>
    </w:p>
    <w:p>
      <w:pPr>
        <w:pStyle w:val="ListParagraph"/>
        <w:numPr>
          <w:ilvl w:val="0"/>
          <w:numId w:val="3"/>
        </w:numPr>
        <w:spacing w:after="60"/>
      </w:pPr>
      <w:r>
        <w:rPr>
          <w:rFonts w:ascii="Arial" w:cs="Arial" w:eastAsia="Arial" w:hAnsi="Arial"/>
          <w:color w:val="5A6472"/>
          <w:sz w:val="20"/>
          <w:szCs w:val="20"/>
        </w:rPr>
        <w:t xml:space="preserve">Payer snapshots: 180 days (keep latest 2 per provider/payer combination in live table)</w:t>
      </w:r>
    </w:p>
    <w:p>
      <w:pPr>
        <w:pStyle w:val="ListParagraph"/>
        <w:numPr>
          <w:ilvl w:val="0"/>
          <w:numId w:val="3"/>
        </w:numPr>
        <w:spacing w:after="60"/>
      </w:pPr>
      <w:r>
        <w:rPr>
          <w:rFonts w:ascii="Arial" w:cs="Arial" w:eastAsia="Arial" w:hAnsi="Arial"/>
          <w:color w:val="5A6472"/>
          <w:sz w:val="20"/>
          <w:szCs w:val="20"/>
        </w:rPr>
        <w:t xml:space="preserve">Audit events: 90 days (matching workflow archival)</w:t>
      </w:r>
    </w:p>
    <w:p>
      <w:pPr>
        <w:spacing w:after="80"/>
      </w:pPr>
    </w:p>
    <w:p>
      <w:pPr>
        <w:pStyle w:val="Heading3"/>
        <w:spacing w:after="80" w:before="240"/>
      </w:pPr>
      <w:r>
        <w:rPr>
          <w:rFonts w:ascii="Arial" w:cs="Arial" w:eastAsia="Arial" w:hAnsi="Arial"/>
          <w:b/>
          <w:bCs/>
          <w:color w:val="C8973F"/>
          <w:sz w:val="22"/>
          <w:szCs w:val="22"/>
        </w:rPr>
        <w:t xml:space="preserve">Reporting Integration</w:t>
      </w:r>
    </w:p>
    <w:p>
      <w:pPr>
        <w:spacing w:after="120"/>
      </w:pPr>
      <w:r>
        <w:rPr>
          <w:rFonts w:ascii="Arial" w:cs="Arial" w:eastAsia="Arial" w:hAnsi="Arial"/>
          <w:color w:val="5A6472"/>
          <w:sz w:val="20"/>
          <w:szCs w:val="20"/>
        </w:rPr>
        <w:t xml:space="preserve">The self-service reporting engine (lib/reports/query-engine.ts) is updated to query both live and archive tables when the user selects a date range that extends beyond the retention window. This is transparent to the user — they select a date range and get results regardless of where the data lives.</w:t>
      </w:r>
    </w:p>
    <w:p>
      <w:pPr>
        <w:pStyle w:val="ListParagraph"/>
        <w:numPr>
          <w:ilvl w:val="0"/>
          <w:numId w:val="3"/>
        </w:numPr>
        <w:spacing w:after="60"/>
      </w:pPr>
      <w:r>
        <w:rPr>
          <w:rFonts w:ascii="Arial" w:cs="Arial" w:eastAsia="Arial" w:hAnsi="Arial"/>
          <w:color w:val="5A6472"/>
          <w:sz w:val="20"/>
          <w:szCs w:val="20"/>
        </w:rPr>
        <w:t xml:space="preserve">Report queries use a UNION ALL pattern: SELECT from live WHERE date_filter UNION ALL SELECT from archive WHERE date_filter</w:t>
      </w:r>
    </w:p>
    <w:p>
      <w:pPr>
        <w:pStyle w:val="ListParagraph"/>
        <w:numPr>
          <w:ilvl w:val="0"/>
          <w:numId w:val="3"/>
        </w:numPr>
        <w:spacing w:after="60"/>
      </w:pPr>
      <w:r>
        <w:rPr>
          <w:rFonts w:ascii="Arial" w:cs="Arial" w:eastAsia="Arial" w:hAnsi="Arial"/>
          <w:color w:val="5A6472"/>
          <w:sz w:val="20"/>
          <w:szCs w:val="20"/>
        </w:rPr>
        <w:t xml:space="preserve">The report UI adds a "Include archived data" toggle (default: off for speed, on for historical reports)</w:t>
      </w:r>
    </w:p>
    <w:p>
      <w:pPr>
        <w:pStyle w:val="ListParagraph"/>
        <w:numPr>
          <w:ilvl w:val="0"/>
          <w:numId w:val="3"/>
        </w:numPr>
        <w:spacing w:after="60"/>
      </w:pPr>
      <w:r>
        <w:rPr>
          <w:rFonts w:ascii="Arial" w:cs="Arial" w:eastAsia="Arial" w:hAnsi="Arial"/>
          <w:color w:val="5A6472"/>
          <w:sz w:val="20"/>
          <w:szCs w:val="20"/>
        </w:rPr>
        <w:t xml:space="preserve">CSV/PDF exports work identically across live and archived data</w:t>
      </w:r>
    </w:p>
    <w:p>
      <w:pPr>
        <w:spacing w:after="80"/>
      </w:pPr>
    </w:p>
    <w:p>
      <w:pPr>
        <w:pStyle w:val="Heading3"/>
        <w:spacing w:after="80" w:before="240"/>
      </w:pPr>
      <w:r>
        <w:rPr>
          <w:rFonts w:ascii="Arial" w:cs="Arial" w:eastAsia="Arial" w:hAnsi="Arial"/>
          <w:b/>
          <w:bCs/>
          <w:color w:val="C8973F"/>
          <w:sz w:val="22"/>
          <w:szCs w:val="22"/>
        </w:rPr>
        <w:t xml:space="preserve">Archive Browser</w:t>
      </w:r>
    </w:p>
    <w:p>
      <w:pPr>
        <w:spacing w:after="80"/>
      </w:pPr>
      <w:r>
        <w:rPr>
          <w:rFonts w:ascii="Arial" w:cs="Arial" w:eastAsia="Arial" w:hAnsi="Arial"/>
          <w:b/>
          <w:bCs/>
          <w:color w:val="0B1E3D"/>
          <w:sz w:val="20"/>
          <w:szCs w:val="20"/>
        </w:rPr>
        <w:t xml:space="preserve">New dashboard page: /practice/[id]/archive</w:t>
      </w:r>
    </w:p>
    <w:p>
      <w:pPr>
        <w:spacing w:after="120"/>
      </w:pPr>
      <w:r>
        <w:rPr>
          <w:rFonts w:ascii="Arial" w:cs="Arial" w:eastAsia="Arial" w:hAnsi="Arial"/>
          <w:color w:val="5A6472"/>
          <w:sz w:val="20"/>
          <w:szCs w:val="20"/>
        </w:rPr>
        <w:t xml:space="preserve">A read-only view for browsing historical workflows and events. Includes date range picker, provider filter, workflow type filter, and status filter. Results are paginated (50 per page). Users can click into an archived workflow to see its full detail (read-only, no actions).</w:t>
      </w:r>
    </w:p>
    <w:p>
      <w:pPr>
        <w:spacing w:after="80"/>
      </w:pPr>
    </w:p>
    <w:p>
      <w:pPr>
        <w:pStyle w:val="Heading3"/>
        <w:spacing w:after="80" w:before="240"/>
      </w:pPr>
      <w:r>
        <w:rPr>
          <w:rFonts w:ascii="Arial" w:cs="Arial" w:eastAsia="Arial" w:hAnsi="Arial"/>
          <w:b/>
          <w:bCs/>
          <w:color w:val="C8973F"/>
          <w:sz w:val="22"/>
          <w:szCs w:val="22"/>
        </w:rPr>
        <w:t xml:space="preserve">Migration</w:t>
      </w:r>
    </w:p>
    <w:p>
      <w:pPr>
        <w:spacing w:after="80"/>
      </w:pPr>
      <w:r>
        <w:rPr>
          <w:rFonts w:ascii="Arial" w:cs="Arial" w:eastAsia="Arial" w:hAnsi="Arial"/>
          <w:b/>
          <w:bCs/>
          <w:color w:val="0B1E3D"/>
          <w:sz w:val="20"/>
          <w:szCs w:val="20"/>
        </w:rPr>
        <w:t xml:space="preserve">New migration: create-archive-tables.sql</w:t>
      </w:r>
    </w:p>
    <w:p>
      <w:pPr>
        <w:pStyle w:val="ListParagraph"/>
        <w:numPr>
          <w:ilvl w:val="0"/>
          <w:numId w:val="3"/>
        </w:numPr>
        <w:spacing w:after="60"/>
      </w:pPr>
      <w:r>
        <w:rPr>
          <w:rFonts w:ascii="Arial" w:cs="Arial" w:eastAsia="Arial" w:hAnsi="Arial"/>
          <w:color w:val="5A6472"/>
          <w:sz w:val="20"/>
          <w:szCs w:val="20"/>
        </w:rPr>
        <w:t xml:space="preserve">Creates all _archive tables with matching schemas</w:t>
      </w:r>
    </w:p>
    <w:p>
      <w:pPr>
        <w:pStyle w:val="ListParagraph"/>
        <w:numPr>
          <w:ilvl w:val="0"/>
          <w:numId w:val="3"/>
        </w:numPr>
        <w:spacing w:after="60"/>
      </w:pPr>
      <w:r>
        <w:rPr>
          <w:rFonts w:ascii="Arial" w:cs="Arial" w:eastAsia="Arial" w:hAnsi="Arial"/>
          <w:color w:val="5A6472"/>
          <w:sz w:val="20"/>
          <w:szCs w:val="20"/>
        </w:rPr>
        <w:t xml:space="preserve">Adds archive_quarter partitioning for efficient historical queries</w:t>
      </w:r>
    </w:p>
    <w:p>
      <w:pPr>
        <w:pStyle w:val="ListParagraph"/>
        <w:numPr>
          <w:ilvl w:val="0"/>
          <w:numId w:val="3"/>
        </w:numPr>
        <w:spacing w:after="60"/>
      </w:pPr>
      <w:r>
        <w:rPr>
          <w:rFonts w:ascii="Arial" w:cs="Arial" w:eastAsia="Arial" w:hAnsi="Arial"/>
          <w:color w:val="5A6472"/>
          <w:sz w:val="20"/>
          <w:szCs w:val="20"/>
        </w:rPr>
        <w:t xml:space="preserve">Creates indexes: (practice_website_id, archive_quarter), (npi, archive_quarter), (archived_at)</w:t>
      </w:r>
    </w:p>
    <w:p>
      <w:pPr>
        <w:pStyle w:val="ListParagraph"/>
        <w:numPr>
          <w:ilvl w:val="0"/>
          <w:numId w:val="3"/>
        </w:numPr>
        <w:spacing w:after="60"/>
      </w:pPr>
      <w:r>
        <w:rPr>
          <w:rFonts w:ascii="Arial" w:cs="Arial" w:eastAsia="Arial" w:hAnsi="Arial"/>
          <w:color w:val="5A6472"/>
          <w:sz w:val="20"/>
          <w:szCs w:val="20"/>
        </w:rPr>
        <w:t xml:space="preserve">Adds a practice_settings.archival_retention_days column (default: 90)</w:t>
      </w:r>
    </w:p>
    <w:p>
      <w:pPr>
        <w:spacing w:after="100"/>
      </w:pPr>
    </w:p>
    <w:p>
      <w:pPr>
        <w:pStyle w:val="Heading2"/>
        <w:spacing w:after="120" w:before="300"/>
      </w:pPr>
      <w:r>
        <w:rPr>
          <w:rFonts w:ascii="Arial" w:cs="Arial" w:eastAsia="Arial" w:hAnsi="Arial"/>
          <w:b/>
          <w:bCs/>
          <w:color w:val="0B1E3D"/>
          <w:sz w:val="26"/>
          <w:szCs w:val="26"/>
        </w:rPr>
        <w:t xml:space="preserve">3.2 Dashboard Query Optimization</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The dashboard home page makes 6+ sequential await calls instead of using Promise.all(). The payer directory page does 5 sequential queries. getAuthenticatedUser() is called redundantly in both the layout and page components. Most queries use select(*) instead of specifying columns.</w:t>
      </w: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3"/>
        </w:numPr>
        <w:spacing w:after="60"/>
      </w:pPr>
      <w:r>
        <w:rPr>
          <w:rFonts w:ascii="Arial" w:cs="Arial" w:eastAsia="Arial" w:hAnsi="Arial"/>
          <w:color w:val="5A6472"/>
          <w:sz w:val="20"/>
          <w:szCs w:val="20"/>
        </w:rPr>
        <w:t xml:space="preserve">Parallelize independent queries with Promise.all() on all dashboard pages (dashboard home, payer directory, workflows, alerts)</w:t>
      </w:r>
    </w:p>
    <w:p>
      <w:pPr>
        <w:pStyle w:val="ListParagraph"/>
        <w:numPr>
          <w:ilvl w:val="0"/>
          <w:numId w:val="3"/>
        </w:numPr>
        <w:spacing w:after="60"/>
      </w:pPr>
      <w:r>
        <w:rPr>
          <w:rFonts w:ascii="Arial" w:cs="Arial" w:eastAsia="Arial" w:hAnsi="Arial"/>
          <w:color w:val="5A6472"/>
          <w:sz w:val="20"/>
          <w:szCs w:val="20"/>
        </w:rPr>
        <w:t xml:space="preserve">Wrap getAuthenticatedUser() with React.cache() to deduplicate calls within a single request lifecycle</w:t>
      </w:r>
    </w:p>
    <w:p>
      <w:pPr>
        <w:pStyle w:val="ListParagraph"/>
        <w:numPr>
          <w:ilvl w:val="0"/>
          <w:numId w:val="3"/>
        </w:numPr>
        <w:spacing w:after="60"/>
      </w:pPr>
      <w:r>
        <w:rPr>
          <w:rFonts w:ascii="Arial" w:cs="Arial" w:eastAsia="Arial" w:hAnsi="Arial"/>
          <w:color w:val="5A6472"/>
          <w:sz w:val="20"/>
          <w:szCs w:val="20"/>
        </w:rPr>
        <w:t xml:space="preserve">Replace select("*") with explicit column lists on all dashboard queries</w:t>
      </w:r>
    </w:p>
    <w:p>
      <w:pPr>
        <w:pStyle w:val="ListParagraph"/>
        <w:numPr>
          <w:ilvl w:val="0"/>
          <w:numId w:val="3"/>
        </w:numPr>
        <w:spacing w:after="60"/>
      </w:pPr>
      <w:r>
        <w:rPr>
          <w:rFonts w:ascii="Arial" w:cs="Arial" w:eastAsia="Arial" w:hAnsi="Arial"/>
          <w:color w:val="5A6472"/>
          <w:sz w:val="20"/>
          <w:szCs w:val="20"/>
        </w:rPr>
        <w:t xml:space="preserve">Add time-based filters to all dashboard queries: workflows WHERE status != resolved OR updated_at &gt; NOW() - 90 days</w:t>
      </w:r>
    </w:p>
    <w:p>
      <w:pPr>
        <w:spacing w:after="80"/>
      </w:pPr>
    </w:p>
    <w:p>
      <w:pPr>
        <w:pStyle w:val="Heading2"/>
        <w:spacing w:after="120" w:before="300"/>
      </w:pPr>
      <w:r>
        <w:rPr>
          <w:rFonts w:ascii="Arial" w:cs="Arial" w:eastAsia="Arial" w:hAnsi="Arial"/>
          <w:b/>
          <w:bCs/>
          <w:color w:val="0B1E3D"/>
          <w:sz w:val="26"/>
          <w:szCs w:val="26"/>
        </w:rPr>
        <w:t xml:space="preserve">3.3 Pagination</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The workflows list, alerts list, and audit trail fetch unbounded result sets. A practice with 200+ providers running for a year would accumulate thousands of records.</w:t>
      </w:r>
    </w:p>
    <w:p>
      <w:pPr>
        <w:pStyle w:val="Heading3"/>
        <w:spacing w:after="80" w:before="240"/>
      </w:pPr>
      <w:r>
        <w:rPr>
          <w:rFonts w:ascii="Arial" w:cs="Arial" w:eastAsia="Arial" w:hAnsi="Arial"/>
          <w:b/>
          <w:bCs/>
          <w:color w:val="C8973F"/>
          <w:sz w:val="22"/>
          <w:szCs w:val="22"/>
        </w:rPr>
        <w:t xml:space="preserve">Implementation</w:t>
      </w:r>
    </w:p>
    <w:p>
      <w:pPr>
        <w:spacing w:after="120"/>
      </w:pPr>
      <w:r>
        <w:rPr>
          <w:rFonts w:ascii="Arial" w:cs="Arial" w:eastAsia="Arial" w:hAnsi="Arial"/>
          <w:color w:val="5A6472"/>
          <w:sz w:val="20"/>
          <w:szCs w:val="20"/>
        </w:rPr>
        <w:t xml:space="preserve">With the archival architecture in place, the live dataset is naturally bounded. However, pagination is still needed as a safety net and for practices with high activity volume:</w:t>
      </w:r>
    </w:p>
    <w:p>
      <w:pPr>
        <w:pStyle w:val="ListParagraph"/>
        <w:numPr>
          <w:ilvl w:val="0"/>
          <w:numId w:val="3"/>
        </w:numPr>
        <w:spacing w:after="60"/>
      </w:pPr>
      <w:r>
        <w:rPr>
          <w:rFonts w:ascii="Arial" w:cs="Arial" w:eastAsia="Arial" w:hAnsi="Arial"/>
          <w:color w:val="5A6472"/>
          <w:sz w:val="20"/>
          <w:szCs w:val="20"/>
        </w:rPr>
        <w:t xml:space="preserve">Workflows page: cursor-based pagination, 50 per page, sorted by updated_at DESC</w:t>
      </w:r>
    </w:p>
    <w:p>
      <w:pPr>
        <w:pStyle w:val="ListParagraph"/>
        <w:numPr>
          <w:ilvl w:val="0"/>
          <w:numId w:val="3"/>
        </w:numPr>
        <w:spacing w:after="60"/>
      </w:pPr>
      <w:r>
        <w:rPr>
          <w:rFonts w:ascii="Arial" w:cs="Arial" w:eastAsia="Arial" w:hAnsi="Arial"/>
          <w:color w:val="5A6472"/>
          <w:sz w:val="20"/>
          <w:szCs w:val="20"/>
        </w:rPr>
        <w:t xml:space="preserve">Alerts page: offset pagination, 50 per page, sorted by created_at DESC</w:t>
      </w:r>
    </w:p>
    <w:p>
      <w:pPr>
        <w:pStyle w:val="ListParagraph"/>
        <w:numPr>
          <w:ilvl w:val="0"/>
          <w:numId w:val="3"/>
        </w:numPr>
        <w:spacing w:after="60"/>
      </w:pPr>
      <w:r>
        <w:rPr>
          <w:rFonts w:ascii="Arial" w:cs="Arial" w:eastAsia="Arial" w:hAnsi="Arial"/>
          <w:color w:val="5A6472"/>
          <w:sz w:val="20"/>
          <w:szCs w:val="20"/>
        </w:rPr>
        <w:t xml:space="preserve">Audit trail: offset pagination with .limit(100) and "Load more" button</w:t>
      </w:r>
    </w:p>
    <w:p>
      <w:pPr>
        <w:pStyle w:val="ListParagraph"/>
        <w:numPr>
          <w:ilvl w:val="0"/>
          <w:numId w:val="3"/>
        </w:numPr>
        <w:spacing w:after="60"/>
      </w:pPr>
      <w:r>
        <w:rPr>
          <w:rFonts w:ascii="Arial" w:cs="Arial" w:eastAsia="Arial" w:hAnsi="Arial"/>
          <w:color w:val="5A6472"/>
          <w:sz w:val="20"/>
          <w:szCs w:val="20"/>
        </w:rPr>
        <w:t xml:space="preserve">Archive browser: offset pagination, 50 per page</w:t>
      </w:r>
    </w:p>
    <w:p>
      <w:pPr>
        <w:spacing w:after="80"/>
      </w:pPr>
    </w:p>
    <w:p>
      <w:pPr>
        <w:pStyle w:val="Heading2"/>
        <w:spacing w:after="120" w:before="300"/>
      </w:pPr>
      <w:r>
        <w:rPr>
          <w:rFonts w:ascii="Arial" w:cs="Arial" w:eastAsia="Arial" w:hAnsi="Arial"/>
          <w:b/>
          <w:bCs/>
          <w:color w:val="0B1E3D"/>
          <w:sz w:val="26"/>
          <w:szCs w:val="26"/>
        </w:rPr>
        <w:t xml:space="preserve">3.4 Caching</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No React.cache(), no revalidate config, no HTTP cache headers on dashboard pages. Every page load hits Supabase for everything.</w:t>
      </w: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3"/>
        </w:numPr>
        <w:spacing w:after="60"/>
      </w:pPr>
      <w:r>
        <w:rPr>
          <w:rFonts w:ascii="Arial" w:cs="Arial" w:eastAsia="Arial" w:hAnsi="Arial"/>
          <w:color w:val="5A6472"/>
          <w:sz w:val="20"/>
          <w:szCs w:val="20"/>
        </w:rPr>
        <w:t xml:space="preserve">React.cache() on getAuthenticatedUser() and getPracticeAccess()</w:t>
      </w:r>
    </w:p>
    <w:p>
      <w:pPr>
        <w:pStyle w:val="ListParagraph"/>
        <w:numPr>
          <w:ilvl w:val="0"/>
          <w:numId w:val="3"/>
        </w:numPr>
        <w:spacing w:after="60"/>
      </w:pPr>
      <w:r>
        <w:rPr>
          <w:rFonts w:ascii="Arial" w:cs="Arial" w:eastAsia="Arial" w:hAnsi="Arial"/>
          <w:color w:val="5A6472"/>
          <w:sz w:val="20"/>
          <w:szCs w:val="20"/>
        </w:rPr>
        <w:t xml:space="preserve">HTTP Cache-Control headers on relatively stable data: payer_directory_endpoints (max-age: 300), v_dashboard_kpis (max-age: 60)</w:t>
      </w:r>
    </w:p>
    <w:p>
      <w:pPr>
        <w:pStyle w:val="ListParagraph"/>
        <w:numPr>
          <w:ilvl w:val="0"/>
          <w:numId w:val="3"/>
        </w:numPr>
        <w:spacing w:after="60"/>
      </w:pPr>
      <w:r>
        <w:rPr>
          <w:rFonts w:ascii="Arial" w:cs="Arial" w:eastAsia="Arial" w:hAnsi="Arial"/>
          <w:color w:val="5A6472"/>
          <w:sz w:val="20"/>
          <w:szCs w:val="20"/>
        </w:rPr>
        <w:t xml:space="preserve">Dynamic import for PDF libraries (jspdf, jspdf-autotable) — only loaded when user clicks Export PDF</w:t>
      </w:r>
    </w:p>
    <w:p>
      <w:pPr>
        <w:spacing w:after="80"/>
      </w:pPr>
    </w:p>
    <w:p>
      <w:pPr>
        <w:pStyle w:val="Heading2"/>
        <w:spacing w:after="120" w:before="300"/>
      </w:pPr>
      <w:r>
        <w:rPr>
          <w:rFonts w:ascii="Arial" w:cs="Arial" w:eastAsia="Arial" w:hAnsi="Arial"/>
          <w:b/>
          <w:bCs/>
          <w:color w:val="0B1E3D"/>
          <w:sz w:val="26"/>
          <w:szCs w:val="26"/>
        </w:rPr>
        <w:t xml:space="preserve">3.5 Database Indexes</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Missing compound indexes for common dashboard query patterns.</w:t>
      </w:r>
    </w:p>
    <w:p>
      <w:pPr>
        <w:pStyle w:val="Heading3"/>
        <w:spacing w:after="80" w:before="240"/>
      </w:pPr>
      <w:r>
        <w:rPr>
          <w:rFonts w:ascii="Arial" w:cs="Arial" w:eastAsia="Arial" w:hAnsi="Arial"/>
          <w:b/>
          <w:bCs/>
          <w:color w:val="C8973F"/>
          <w:sz w:val="22"/>
          <w:szCs w:val="22"/>
        </w:rPr>
        <w:t xml:space="preserve">New Indexes</w:t>
      </w:r>
    </w:p>
    <w:p>
      <w:pPr>
        <w:pStyle w:val="ListParagraph"/>
        <w:numPr>
          <w:ilvl w:val="0"/>
          <w:numId w:val="3"/>
        </w:numPr>
        <w:spacing w:after="60"/>
      </w:pPr>
      <w:r>
        <w:rPr>
          <w:rFonts w:ascii="Arial" w:cs="Arial" w:eastAsia="Arial" w:hAnsi="Arial"/>
          <w:color w:val="5A6472"/>
          <w:sz w:val="20"/>
          <w:szCs w:val="20"/>
        </w:rPr>
        <w:t xml:space="preserve">workflow_instances: (practice_website_id, status, updated_at DESC) — dashboard home and workflow list</w:t>
      </w:r>
    </w:p>
    <w:p>
      <w:pPr>
        <w:pStyle w:val="ListParagraph"/>
        <w:numPr>
          <w:ilvl w:val="0"/>
          <w:numId w:val="3"/>
        </w:numPr>
        <w:spacing w:after="60"/>
      </w:pPr>
      <w:r>
        <w:rPr>
          <w:rFonts w:ascii="Arial" w:cs="Arial" w:eastAsia="Arial" w:hAnsi="Arial"/>
          <w:color w:val="5A6472"/>
          <w:sz w:val="20"/>
          <w:szCs w:val="20"/>
        </w:rPr>
        <w:t xml:space="preserve">alerts: (practice_website_id, severity, created_at DESC) — alert list filtering</w:t>
      </w:r>
    </w:p>
    <w:p>
      <w:pPr>
        <w:pStyle w:val="ListParagraph"/>
        <w:numPr>
          <w:ilvl w:val="0"/>
          <w:numId w:val="3"/>
        </w:numPr>
        <w:spacing w:after="60"/>
      </w:pPr>
      <w:r>
        <w:rPr>
          <w:rFonts w:ascii="Arial" w:cs="Arial" w:eastAsia="Arial" w:hAnsi="Arial"/>
          <w:color w:val="5A6472"/>
          <w:sz w:val="20"/>
          <w:szCs w:val="20"/>
        </w:rPr>
        <w:t xml:space="preserve">workflow_events: (workflow_id, created_at DESC) — audit trail by workflow</w:t>
      </w:r>
    </w:p>
    <w:p>
      <w:pPr>
        <w:pStyle w:val="ListParagraph"/>
        <w:numPr>
          <w:ilvl w:val="0"/>
          <w:numId w:val="3"/>
        </w:numPr>
        <w:spacing w:after="60"/>
      </w:pPr>
      <w:r>
        <w:rPr>
          <w:rFonts w:ascii="Arial" w:cs="Arial" w:eastAsia="Arial" w:hAnsi="Arial"/>
          <w:color w:val="5A6472"/>
          <w:sz w:val="20"/>
          <w:szCs w:val="20"/>
        </w:rPr>
        <w:t xml:space="preserve">payer_directory_snapshots: (npi, payer_code, snapshot_date DESC) — latest snapshot dedup</w:t>
      </w:r>
    </w:p>
    <w:p>
      <w:r>
        <w:br w:type="page"/>
      </w:r>
    </w:p>
    <w:p>
      <w:pPr>
        <w:pStyle w:val="Heading1"/>
      </w:pPr>
      <w:r>
        <w:rPr>
          <w:rFonts w:ascii="Arial" w:cs="Arial" w:eastAsia="Arial" w:hAnsi="Arial"/>
          <w:b/>
          <w:bCs/>
          <w:color w:val="0B1E3D"/>
          <w:sz w:val="32"/>
          <w:szCs w:val="32"/>
        </w:rPr>
        <w:t xml:space="preserve">Tier 4: Testing &amp; State Scalability</w:t>
      </w:r>
    </w:p>
    <w:p>
      <w:pPr>
        <w:spacing w:after="120"/>
      </w:pPr>
      <w:r>
        <w:rPr>
          <w:rFonts w:ascii="Arial" w:cs="Arial" w:eastAsia="Arial" w:hAnsi="Arial"/>
          <w:color w:val="5A6472"/>
          <w:sz w:val="20"/>
          <w:szCs w:val="20"/>
        </w:rPr>
        <w:t xml:space="preserve">The final tier builds the automated test safety net and refactors state-specific logic for multi-state expansion.</w:t>
      </w:r>
    </w:p>
    <w:p>
      <w:pPr>
        <w:pStyle w:val="Heading2"/>
        <w:spacing w:after="120" w:before="300"/>
      </w:pPr>
      <w:r>
        <w:rPr>
          <w:rFonts w:ascii="Arial" w:cs="Arial" w:eastAsia="Arial" w:hAnsi="Arial"/>
          <w:b/>
          <w:bCs/>
          <w:color w:val="0B1E3D"/>
          <w:sz w:val="26"/>
          <w:szCs w:val="26"/>
        </w:rPr>
        <w:t xml:space="preserve">4.1 Playwright Test Suite</w:t>
      </w:r>
    </w:p>
    <w:p>
      <w:pPr>
        <w:pStyle w:val="Heading3"/>
        <w:spacing w:after="80" w:before="240"/>
      </w:pPr>
      <w:r>
        <w:rPr>
          <w:rFonts w:ascii="Arial" w:cs="Arial" w:eastAsia="Arial" w:hAnsi="Arial"/>
          <w:b/>
          <w:bCs/>
          <w:color w:val="C8973F"/>
          <w:sz w:val="22"/>
          <w:szCs w:val="22"/>
        </w:rPr>
        <w:t xml:space="preserve">Current State</w:t>
      </w:r>
    </w:p>
    <w:p>
      <w:pPr>
        <w:spacing w:after="120"/>
      </w:pPr>
      <w:r>
        <w:rPr>
          <w:rFonts w:ascii="Arial" w:cs="Arial" w:eastAsia="Arial" w:hAnsi="Arial"/>
          <w:color w:val="5A6472"/>
          <w:sz w:val="20"/>
          <w:szCs w:val="20"/>
        </w:rPr>
        <w:t xml:space="preserve">The USE_CASES_AND_TEST_PLAN.md document defines 72 use cases across 13 categories with 236 assertions. Playwright is installed and configured (playwright.config.ts), CI workflow exists (page-tests.yml), and 8 npm test scripts are defined. However, none of the 16 spec files have been created. The e2e/ directory does not exist.</w:t>
      </w:r>
    </w:p>
    <w:p>
      <w:pPr>
        <w:pStyle w:val="Heading3"/>
        <w:spacing w:after="80" w:before="240"/>
      </w:pPr>
      <w:r>
        <w:rPr>
          <w:rFonts w:ascii="Arial" w:cs="Arial" w:eastAsia="Arial" w:hAnsi="Arial"/>
          <w:b/>
          <w:bCs/>
          <w:color w:val="C8973F"/>
          <w:sz w:val="22"/>
          <w:szCs w:val="22"/>
        </w:rPr>
        <w:t xml:space="preserve">Implementation Sequence</w:t>
      </w:r>
    </w:p>
    <w:p>
      <w:pPr>
        <w:pStyle w:val="ListParagraph"/>
        <w:numPr>
          <w:ilvl w:val="0"/>
          <w:numId w:val="2"/>
        </w:numPr>
        <w:spacing w:after="60"/>
      </w:pPr>
      <w:r>
        <w:rPr>
          <w:rFonts w:ascii="Arial" w:cs="Arial" w:eastAsia="Arial" w:hAnsi="Arial"/>
          <w:color w:val="5A6472"/>
          <w:sz w:val="20"/>
          <w:szCs w:val="20"/>
        </w:rPr>
        <w:t xml:space="preserve">Create tests/ directory structure (fixtures, e2e, results) per the test plan</w:t>
      </w:r>
    </w:p>
    <w:p>
      <w:pPr>
        <w:pStyle w:val="ListParagraph"/>
        <w:numPr>
          <w:ilvl w:val="0"/>
          <w:numId w:val="2"/>
        </w:numPr>
        <w:spacing w:after="60"/>
      </w:pPr>
      <w:r>
        <w:rPr>
          <w:rFonts w:ascii="Arial" w:cs="Arial" w:eastAsia="Arial" w:hAnsi="Arial"/>
          <w:color w:val="5A6472"/>
          <w:sz w:val="20"/>
          <w:szCs w:val="20"/>
        </w:rPr>
        <w:t xml:space="preserve">Build shared fixtures: test-data.ts with Brushy Creek and NTMSC practice constants</w:t>
      </w:r>
    </w:p>
    <w:p>
      <w:pPr>
        <w:pStyle w:val="ListParagraph"/>
        <w:numPr>
          <w:ilvl w:val="0"/>
          <w:numId w:val="2"/>
        </w:numPr>
        <w:spacing w:after="60"/>
      </w:pPr>
      <w:r>
        <w:rPr>
          <w:rFonts w:ascii="Arial" w:cs="Arial" w:eastAsia="Arial" w:hAnsi="Arial"/>
          <w:color w:val="5A6472"/>
          <w:sz w:val="20"/>
          <w:szCs w:val="20"/>
        </w:rPr>
        <w:t xml:space="preserve">API tests first (no browser needed, highest value): auth.api.spec.ts, workflows-crud.api.spec.ts, workflow-state-machine.api.spec.ts, resilience.api.spec.ts</w:t>
      </w:r>
    </w:p>
    <w:p>
      <w:pPr>
        <w:pStyle w:val="ListParagraph"/>
        <w:numPr>
          <w:ilvl w:val="0"/>
          <w:numId w:val="2"/>
        </w:numPr>
        <w:spacing w:after="60"/>
      </w:pPr>
      <w:r>
        <w:rPr>
          <w:rFonts w:ascii="Arial" w:cs="Arial" w:eastAsia="Arial" w:hAnsi="Arial"/>
          <w:color w:val="5A6472"/>
          <w:sz w:val="20"/>
          <w:szCs w:val="20"/>
        </w:rPr>
        <w:t xml:space="preserve">Core E2E tests: dashboard-home.e2e.spec.ts, workflow-nppes.e2e.spec.ts, provider-roster.e2e.spec.ts, alerts.e2e.spec.ts</w:t>
      </w:r>
    </w:p>
    <w:p>
      <w:pPr>
        <w:pStyle w:val="ListParagraph"/>
        <w:numPr>
          <w:ilvl w:val="0"/>
          <w:numId w:val="2"/>
        </w:numPr>
        <w:spacing w:after="60"/>
      </w:pPr>
      <w:r>
        <w:rPr>
          <w:rFonts w:ascii="Arial" w:cs="Arial" w:eastAsia="Arial" w:hAnsi="Arial"/>
          <w:color w:val="5A6472"/>
          <w:sz w:val="20"/>
          <w:szCs w:val="20"/>
        </w:rPr>
        <w:t xml:space="preserve">Secondary E2E: workflow-payer, workflow-onboarding, workflow-release, workflow-compliance, navigation</w:t>
      </w:r>
    </w:p>
    <w:p>
      <w:pPr>
        <w:pStyle w:val="ListParagraph"/>
        <w:numPr>
          <w:ilvl w:val="0"/>
          <w:numId w:val="2"/>
        </w:numPr>
        <w:spacing w:after="60"/>
      </w:pPr>
      <w:r>
        <w:rPr>
          <w:rFonts w:ascii="Arial" w:cs="Arial" w:eastAsia="Arial" w:hAnsi="Arial"/>
          <w:color w:val="5A6472"/>
          <w:sz w:val="20"/>
          <w:szCs w:val="20"/>
        </w:rPr>
        <w:t xml:space="preserve">Regression: regression.e2e.spec.ts, cross-browser.e2e.spec.ts, mobile.e2e.spec.ts</w:t>
      </w:r>
    </w:p>
    <w:p>
      <w:pPr>
        <w:pStyle w:val="ListParagraph"/>
        <w:numPr>
          <w:ilvl w:val="0"/>
          <w:numId w:val="2"/>
        </w:numPr>
        <w:spacing w:after="60"/>
      </w:pPr>
      <w:r>
        <w:rPr>
          <w:rFonts w:ascii="Arial" w:cs="Arial" w:eastAsia="Arial" w:hAnsi="Arial"/>
          <w:color w:val="5A6472"/>
          <w:sz w:val="20"/>
          <w:szCs w:val="20"/>
        </w:rPr>
        <w:t xml:space="preserve">Coverage tooling: coverage-map.ts, audit-coverage.ts</w:t>
      </w:r>
    </w:p>
    <w:p>
      <w:pPr>
        <w:pStyle w:val="ListParagraph"/>
        <w:numPr>
          <w:ilvl w:val="0"/>
          <w:numId w:val="2"/>
        </w:numPr>
        <w:spacing w:after="60"/>
      </w:pPr>
      <w:r>
        <w:rPr>
          <w:rFonts w:ascii="Arial" w:cs="Arial" w:eastAsia="Arial" w:hAnsi="Arial"/>
          <w:color w:val="5A6472"/>
          <w:sz w:val="20"/>
          <w:szCs w:val="20"/>
        </w:rPr>
        <w:t xml:space="preserve">Update CI workflow: dashboard-tests.yml with 4-stage pipeline (audit, API, E2E, regression summary)</w:t>
      </w:r>
    </w:p>
    <w:p>
      <w:pPr>
        <w:spacing w:after="80"/>
      </w:pPr>
    </w:p>
    <w:p>
      <w:pPr>
        <w:pStyle w:val="Heading2"/>
        <w:spacing w:after="120" w:before="300"/>
      </w:pPr>
      <w:r>
        <w:rPr>
          <w:rFonts w:ascii="Arial" w:cs="Arial" w:eastAsia="Arial" w:hAnsi="Arial"/>
          <w:b/>
          <w:bCs/>
          <w:color w:val="0B1E3D"/>
          <w:sz w:val="26"/>
          <w:szCs w:val="26"/>
        </w:rPr>
        <w:t xml:space="preserve">4.2 State Configuration Registry</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Adding a third state (e.g., Florida) currently requires modifying 10 files across 5 directories. State-specific logic is scattered: PECOS has a hardcoded Set(["TX", "CA"]), compliance checks embed Texas law references, payer enrollment configs are hardcoded per-state, and BCBS scraper routing is if/else by payer code.</w:t>
      </w:r>
    </w:p>
    <w:p>
      <w:pPr>
        <w:pStyle w:val="Heading3"/>
        <w:spacing w:after="80" w:before="240"/>
      </w:pPr>
      <w:r>
        <w:rPr>
          <w:rFonts w:ascii="Arial" w:cs="Arial" w:eastAsia="Arial" w:hAnsi="Arial"/>
          <w:b/>
          <w:bCs/>
          <w:color w:val="C8973F"/>
          <w:sz w:val="22"/>
          <w:szCs w:val="22"/>
        </w:rPr>
        <w:t xml:space="preserve">Architecture</w:t>
      </w:r>
    </w:p>
    <w:p>
      <w:pPr>
        <w:spacing w:after="80"/>
      </w:pPr>
      <w:r>
        <w:rPr>
          <w:rFonts w:ascii="Arial" w:cs="Arial" w:eastAsia="Arial" w:hAnsi="Arial"/>
          <w:b/>
          <w:bCs/>
          <w:color w:val="0B1E3D"/>
          <w:sz w:val="20"/>
          <w:szCs w:val="20"/>
        </w:rPr>
        <w:t xml:space="preserve">New file: lib/config/state-registry.ts</w:t>
      </w:r>
    </w:p>
    <w:p>
      <w:pPr>
        <w:spacing w:after="120"/>
      </w:pPr>
      <w:r>
        <w:rPr>
          <w:rFonts w:ascii="Arial" w:cs="Arial" w:eastAsia="Arial" w:hAnsi="Arial"/>
          <w:color w:val="5A6472"/>
          <w:sz w:val="20"/>
          <w:szCs w:val="20"/>
        </w:rPr>
        <w:t xml:space="preserve">A centralized registry that maps each supported state to its configuration:</w:t>
      </w:r>
    </w:p>
    <w:p>
      <w:pPr>
        <w:pStyle w:val="ListParagraph"/>
        <w:numPr>
          <w:ilvl w:val="0"/>
          <w:numId w:val="3"/>
        </w:numPr>
        <w:spacing w:after="60"/>
      </w:pPr>
      <w:r>
        <w:rPr>
          <w:rFonts w:ascii="Arial" w:cs="Arial" w:eastAsia="Arial" w:hAnsi="Arial"/>
          <w:color w:val="5A6472"/>
          <w:sz w:val="20"/>
          <w:szCs w:val="20"/>
        </w:rPr>
        <w:t xml:space="preserve">stateCode, stateName, enabled flag</w:t>
      </w:r>
    </w:p>
    <w:p>
      <w:pPr>
        <w:pStyle w:val="ListParagraph"/>
        <w:numPr>
          <w:ilvl w:val="0"/>
          <w:numId w:val="3"/>
        </w:numPr>
        <w:spacing w:after="60"/>
      </w:pPr>
      <w:r>
        <w:rPr>
          <w:rFonts w:ascii="Arial" w:cs="Arial" w:eastAsia="Arial" w:hAnsi="Arial"/>
          <w:color w:val="5A6472"/>
          <w:sz w:val="20"/>
          <w:szCs w:val="20"/>
        </w:rPr>
        <w:t xml:space="preserve">Compliance rules: array of { statuteId, statuteName, penaltyInfo, checkIds[] }</w:t>
      </w:r>
    </w:p>
    <w:p>
      <w:pPr>
        <w:pStyle w:val="ListParagraph"/>
        <w:numPr>
          <w:ilvl w:val="0"/>
          <w:numId w:val="3"/>
        </w:numPr>
        <w:spacing w:after="60"/>
      </w:pPr>
      <w:r>
        <w:rPr>
          <w:rFonts w:ascii="Arial" w:cs="Arial" w:eastAsia="Arial" w:hAnsi="Arial"/>
          <w:color w:val="5A6472"/>
          <w:sz w:val="20"/>
          <w:szCs w:val="20"/>
        </w:rPr>
        <w:t xml:space="preserve">PECOS: whether PECOS data has been synced for this state</w:t>
      </w:r>
    </w:p>
    <w:p>
      <w:pPr>
        <w:pStyle w:val="ListParagraph"/>
        <w:numPr>
          <w:ilvl w:val="0"/>
          <w:numId w:val="3"/>
        </w:numPr>
        <w:spacing w:after="60"/>
      </w:pPr>
      <w:r>
        <w:rPr>
          <w:rFonts w:ascii="Arial" w:cs="Arial" w:eastAsia="Arial" w:hAnsi="Arial"/>
          <w:color w:val="5A6472"/>
          <w:sz w:val="20"/>
          <w:szCs w:val="20"/>
        </w:rPr>
        <w:t xml:space="preserve">Payer configs: which payers are available, whether they use FHIR or scraping, portal URLs</w:t>
      </w:r>
    </w:p>
    <w:p>
      <w:pPr>
        <w:pStyle w:val="ListParagraph"/>
        <w:numPr>
          <w:ilvl w:val="0"/>
          <w:numId w:val="3"/>
        </w:numPr>
        <w:spacing w:after="60"/>
      </w:pPr>
      <w:r>
        <w:rPr>
          <w:rFonts w:ascii="Arial" w:cs="Arial" w:eastAsia="Arial" w:hAnsi="Arial"/>
          <w:color w:val="5A6472"/>
          <w:sz w:val="20"/>
          <w:szCs w:val="20"/>
        </w:rPr>
        <w:t xml:space="preserve">License board: TMB, CA MB, or FL DOH — with monitoring endpoint</w:t>
      </w:r>
    </w:p>
    <w:p>
      <w:pPr>
        <w:spacing w:after="60"/>
      </w:pPr>
    </w:p>
    <w:p>
      <w:pPr>
        <w:spacing w:after="120"/>
      </w:pPr>
      <w:r>
        <w:rPr>
          <w:rFonts w:ascii="Arial" w:cs="Arial" w:eastAsia="Arial" w:hAnsi="Arial"/>
          <w:color w:val="5A6472"/>
          <w:sz w:val="20"/>
          <w:szCs w:val="20"/>
        </w:rPr>
        <w:t xml:space="preserve">Each module currently using hardcoded state logic reads from the registry instead:</w:t>
      </w:r>
    </w:p>
    <w:p>
      <w:pPr>
        <w:pStyle w:val="ListParagraph"/>
        <w:numPr>
          <w:ilvl w:val="0"/>
          <w:numId w:val="3"/>
        </w:numPr>
        <w:spacing w:after="60"/>
      </w:pPr>
      <w:r>
        <w:rPr>
          <w:rFonts w:ascii="Arial" w:cs="Arial" w:eastAsia="Arial" w:hAnsi="Arial"/>
          <w:color w:val="5A6472"/>
          <w:sz w:val="20"/>
          <w:szCs w:val="20"/>
        </w:rPr>
        <w:t xml:space="preserve">pecos-verification.ts: SYNCED_STATES becomes stateRegistry.filter(s =&gt; s.pecos.synced)</w:t>
      </w:r>
    </w:p>
    <w:p>
      <w:pPr>
        <w:pStyle w:val="ListParagraph"/>
        <w:numPr>
          <w:ilvl w:val="0"/>
          <w:numId w:val="3"/>
        </w:numPr>
        <w:spacing w:after="60"/>
      </w:pPr>
      <w:r>
        <w:rPr>
          <w:rFonts w:ascii="Arial" w:cs="Arial" w:eastAsia="Arial" w:hAnsi="Arial"/>
          <w:color w:val="5A6472"/>
          <w:sz w:val="20"/>
          <w:szCs w:val="20"/>
        </w:rPr>
        <w:t xml:space="preserve">compliance-checks.ts: law references pulled from state.complianceRules[].statuteName</w:t>
      </w:r>
    </w:p>
    <w:p>
      <w:pPr>
        <w:pStyle w:val="ListParagraph"/>
        <w:numPr>
          <w:ilvl w:val="0"/>
          <w:numId w:val="3"/>
        </w:numPr>
        <w:spacing w:after="60"/>
      </w:pPr>
      <w:r>
        <w:rPr>
          <w:rFonts w:ascii="Arial" w:cs="Arial" w:eastAsia="Arial" w:hAnsi="Arial"/>
          <w:color w:val="5A6472"/>
          <w:sz w:val="20"/>
          <w:szCs w:val="20"/>
        </w:rPr>
        <w:t xml:space="preserve">assessment-engine.ts: directPayers filtered by stateRegistry[practice.state].payers</w:t>
      </w:r>
    </w:p>
    <w:p>
      <w:pPr>
        <w:pStyle w:val="ListParagraph"/>
        <w:numPr>
          <w:ilvl w:val="0"/>
          <w:numId w:val="3"/>
        </w:numPr>
        <w:spacing w:after="60"/>
      </w:pPr>
      <w:r>
        <w:rPr>
          <w:rFonts w:ascii="Arial" w:cs="Arial" w:eastAsia="Arial" w:hAnsi="Arial"/>
          <w:color w:val="5A6472"/>
          <w:sz w:val="20"/>
          <w:szCs w:val="20"/>
        </w:rPr>
        <w:t xml:space="preserve">payer-lookup.ts: scraper routing via stateRegistry payer config scraper flag</w:t>
      </w:r>
    </w:p>
    <w:p>
      <w:pPr>
        <w:spacing w:after="60"/>
      </w:pPr>
    </w:p>
    <w:p>
      <w:pPr>
        <w:spacing w:after="120"/>
      </w:pPr>
      <w:r>
        <w:rPr>
          <w:rFonts w:ascii="Arial" w:cs="Arial" w:eastAsia="Arial" w:hAnsi="Arial"/>
          <w:color w:val="5A6472"/>
          <w:sz w:val="20"/>
          <w:szCs w:val="20"/>
        </w:rPr>
        <w:t xml:space="preserve">To add Florida, you insert one configuration object into the registry. No other files change.</w:t>
      </w:r>
    </w:p>
    <w:p>
      <w:pPr>
        <w:spacing w:after="80"/>
      </w:pPr>
    </w:p>
    <w:p>
      <w:pPr>
        <w:pStyle w:val="Heading2"/>
        <w:spacing w:after="120" w:before="300"/>
      </w:pPr>
      <w:r>
        <w:rPr>
          <w:rFonts w:ascii="Arial" w:cs="Arial" w:eastAsia="Arial" w:hAnsi="Arial"/>
          <w:b/>
          <w:bCs/>
          <w:color w:val="0B1E3D"/>
          <w:sz w:val="26"/>
          <w:szCs w:val="26"/>
        </w:rPr>
        <w:t xml:space="preserve">4.3 Type Safety</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85 files use ": any" types, 21 files use "as any" casts. No generated Supabase types exist beyond a partial dashboard schema file.</w:t>
      </w: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3"/>
        </w:numPr>
        <w:spacing w:after="60"/>
      </w:pPr>
      <w:r>
        <w:rPr>
          <w:rFonts w:ascii="Arial" w:cs="Arial" w:eastAsia="Arial" w:hAnsi="Arial"/>
          <w:color w:val="5A6472"/>
          <w:sz w:val="20"/>
          <w:szCs w:val="20"/>
        </w:rPr>
        <w:t xml:space="preserve">Run npx supabase gen types typescript to generate complete database.types.ts</w:t>
      </w:r>
    </w:p>
    <w:p>
      <w:pPr>
        <w:pStyle w:val="ListParagraph"/>
        <w:numPr>
          <w:ilvl w:val="0"/>
          <w:numId w:val="3"/>
        </w:numPr>
        <w:spacing w:after="60"/>
      </w:pPr>
      <w:r>
        <w:rPr>
          <w:rFonts w:ascii="Arial" w:cs="Arial" w:eastAsia="Arial" w:hAnsi="Arial"/>
          <w:color w:val="5A6472"/>
          <w:sz w:val="20"/>
          <w:szCs w:val="20"/>
        </w:rPr>
        <w:t xml:space="preserve">Replace the top 20 most dangerous "any" usages in API routes and credentialing engine</w:t>
      </w:r>
    </w:p>
    <w:p>
      <w:pPr>
        <w:pStyle w:val="ListParagraph"/>
        <w:numPr>
          <w:ilvl w:val="0"/>
          <w:numId w:val="3"/>
        </w:numPr>
        <w:spacing w:after="60"/>
      </w:pPr>
      <w:r>
        <w:rPr>
          <w:rFonts w:ascii="Arial" w:cs="Arial" w:eastAsia="Arial" w:hAnsi="Arial"/>
          <w:color w:val="5A6472"/>
          <w:sz w:val="20"/>
          <w:szCs w:val="20"/>
        </w:rPr>
        <w:t xml:space="preserve">Add ESLint with @typescript-eslint/no-explicit-any as a warning (not error) for gradual cleanup</w:t>
      </w:r>
    </w:p>
    <w:p>
      <w:pPr>
        <w:spacing w:after="80"/>
      </w:pPr>
    </w:p>
    <w:p>
      <w:pPr>
        <w:pStyle w:val="Heading2"/>
        <w:spacing w:after="120" w:before="300"/>
      </w:pPr>
      <w:r>
        <w:rPr>
          <w:rFonts w:ascii="Arial" w:cs="Arial" w:eastAsia="Arial" w:hAnsi="Arial"/>
          <w:b/>
          <w:bCs/>
          <w:color w:val="0B1E3D"/>
          <w:sz w:val="26"/>
          <w:szCs w:val="26"/>
        </w:rPr>
        <w:t xml:space="preserve">4.4 Linting &amp; Formatting</w:t>
      </w:r>
    </w:p>
    <w:p>
      <w:pPr>
        <w:pStyle w:val="Heading3"/>
        <w:spacing w:after="80" w:before="240"/>
      </w:pPr>
      <w:r>
        <w:rPr>
          <w:rFonts w:ascii="Arial" w:cs="Arial" w:eastAsia="Arial" w:hAnsi="Arial"/>
          <w:b/>
          <w:bCs/>
          <w:color w:val="C8973F"/>
          <w:sz w:val="22"/>
          <w:szCs w:val="22"/>
        </w:rPr>
        <w:t xml:space="preserve">Finding</w:t>
      </w:r>
    </w:p>
    <w:p>
      <w:pPr>
        <w:spacing w:after="120"/>
      </w:pPr>
      <w:r>
        <w:rPr>
          <w:rFonts w:ascii="Arial" w:cs="Arial" w:eastAsia="Arial" w:hAnsi="Arial"/>
          <w:color w:val="5A6472"/>
          <w:sz w:val="20"/>
          <w:szCs w:val="20"/>
        </w:rPr>
        <w:t xml:space="preserve">No ESLint or Prettier configuration exists beyond Next.js defaults.</w:t>
      </w:r>
    </w:p>
    <w:p>
      <w:pPr>
        <w:pStyle w:val="Heading3"/>
        <w:spacing w:after="80" w:before="240"/>
      </w:pPr>
      <w:r>
        <w:rPr>
          <w:rFonts w:ascii="Arial" w:cs="Arial" w:eastAsia="Arial" w:hAnsi="Arial"/>
          <w:b/>
          <w:bCs/>
          <w:color w:val="C8973F"/>
          <w:sz w:val="22"/>
          <w:szCs w:val="22"/>
        </w:rPr>
        <w:t xml:space="preserve">Implementation</w:t>
      </w:r>
    </w:p>
    <w:p>
      <w:pPr>
        <w:pStyle w:val="ListParagraph"/>
        <w:numPr>
          <w:ilvl w:val="0"/>
          <w:numId w:val="3"/>
        </w:numPr>
        <w:spacing w:after="60"/>
      </w:pPr>
      <w:r>
        <w:rPr>
          <w:rFonts w:ascii="Arial" w:cs="Arial" w:eastAsia="Arial" w:hAnsi="Arial"/>
          <w:color w:val="5A6472"/>
          <w:sz w:val="20"/>
          <w:szCs w:val="20"/>
        </w:rPr>
        <w:t xml:space="preserve">Add .eslintrc.json with next/core-web-vitals and @typescript-eslint recommended rules</w:t>
      </w:r>
    </w:p>
    <w:p>
      <w:pPr>
        <w:pStyle w:val="ListParagraph"/>
        <w:numPr>
          <w:ilvl w:val="0"/>
          <w:numId w:val="3"/>
        </w:numPr>
        <w:spacing w:after="60"/>
      </w:pPr>
      <w:r>
        <w:rPr>
          <w:rFonts w:ascii="Arial" w:cs="Arial" w:eastAsia="Arial" w:hAnsi="Arial"/>
          <w:color w:val="5A6472"/>
          <w:sz w:val="20"/>
          <w:szCs w:val="20"/>
        </w:rPr>
        <w:t xml:space="preserve">Add .prettierrc with consistent settings (single quotes, 2-space indent, trailing commas)</w:t>
      </w:r>
    </w:p>
    <w:p>
      <w:pPr>
        <w:pStyle w:val="ListParagraph"/>
        <w:numPr>
          <w:ilvl w:val="0"/>
          <w:numId w:val="3"/>
        </w:numPr>
        <w:spacing w:after="60"/>
      </w:pPr>
      <w:r>
        <w:rPr>
          <w:rFonts w:ascii="Arial" w:cs="Arial" w:eastAsia="Arial" w:hAnsi="Arial"/>
          <w:color w:val="5A6472"/>
          <w:sz w:val="20"/>
          <w:szCs w:val="20"/>
        </w:rPr>
        <w:t xml:space="preserve">Add lint-staged + husky for pre-commit formatting</w:t>
      </w:r>
    </w:p>
    <w:p>
      <w:pPr>
        <w:pStyle w:val="ListParagraph"/>
        <w:numPr>
          <w:ilvl w:val="0"/>
          <w:numId w:val="3"/>
        </w:numPr>
        <w:spacing w:after="60"/>
      </w:pPr>
      <w:r>
        <w:rPr>
          <w:rFonts w:ascii="Arial" w:cs="Arial" w:eastAsia="Arial" w:hAnsi="Arial"/>
          <w:color w:val="5A6472"/>
          <w:sz w:val="20"/>
          <w:szCs w:val="20"/>
        </w:rPr>
        <w:t xml:space="preserve">Run initial lint fix pass across the codebase</w:t>
      </w:r>
    </w:p>
    <w:p>
      <w:r>
        <w:br w:type="page"/>
      </w:r>
    </w:p>
    <w:p>
      <w:pPr>
        <w:pStyle w:val="Heading1"/>
      </w:pPr>
      <w:r>
        <w:rPr>
          <w:rFonts w:ascii="Arial" w:cs="Arial" w:eastAsia="Arial" w:hAnsi="Arial"/>
          <w:b/>
          <w:bCs/>
          <w:color w:val="0B1E3D"/>
          <w:sz w:val="32"/>
          <w:szCs w:val="32"/>
        </w:rPr>
        <w:t xml:space="preserve">Appendix A: Complete Findings Matrix</w:t>
      </w:r>
    </w:p>
    <w:p>
      <w:pPr>
        <w:spacing w:after="120"/>
      </w:pPr>
      <w:r>
        <w:rPr>
          <w:rFonts w:ascii="Arial" w:cs="Arial" w:eastAsia="Arial" w:hAnsi="Arial"/>
          <w:color w:val="5A6472"/>
          <w:sz w:val="20"/>
          <w:szCs w:val="20"/>
        </w:rPr>
        <w:t xml:space="preserve">All findings from the codebase audit, organized by severity.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3360"/>
        <w:gridCol w:w="2200"/>
        <w:gridCol w:w="2100"/>
      </w:tblGrid>
      <w:tr>
        <w:tc>
          <w:tcPr>
            <w:tcW w:type="dxa" w:w="60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10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220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10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Tier</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1</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auth on admin API routes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api/admin/*</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T1: Security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2</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practice ownership validation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api/settings/*</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T1: Security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3</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Password change: any user, any account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api/settings/account/password</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T1: Security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4</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SQL injection via string interpolation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api/search/query</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T1: Security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5</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Hardcoded Supabase anon key fallback</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api/widget, api/admin</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T1: Security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6</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C3545"/>
                <w:sz w:val="18"/>
                <w:szCs w:val="18"/>
              </w:rPr>
              <w:t xml:space="preserve">CRITICAL</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Anon RLS: full access to scan_results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migrations v2</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T1: Security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7</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error.tsx boundaries anywhere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app/**</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T2: Stability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8</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loading.tsx skeletons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app/(dashboard)/**</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T2: Stability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9</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69 unwrapped .single() calls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dashboard pages + API</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T2: Stability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10</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Inconsistent API error shapes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all API routes</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T2: Stability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11</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6+ sequential queries on dashboard home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practice/[id]/page.tsx</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T3: Performance</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12</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data archival (unbounded dataset)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workflow_instances, alerts</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T3: Performance</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13</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pagination on workflow/alert lists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dashboard pages</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T3: Performance</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14</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C8973F"/>
                <w:sz w:val="18"/>
                <w:szCs w:val="18"/>
              </w:rPr>
              <w:t xml:space="preserve">MEDIUM</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select(*) on all dashboard queries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dashboard pages</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T3: Performance</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15</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C8973F"/>
                <w:sz w:val="18"/>
                <w:szCs w:val="18"/>
              </w:rPr>
              <w:t xml:space="preserve">MEDIUM</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React.cache() for auth dedup</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layout.tsx + pages</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T3: Performance</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16</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C8973F"/>
                <w:sz w:val="18"/>
                <w:szCs w:val="18"/>
              </w:rPr>
              <w:t xml:space="preserve">MEDIUM</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Missing compound DB indexes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Supabase</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T3: Performance</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17</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C8973F"/>
                <w:sz w:val="18"/>
                <w:szCs w:val="18"/>
              </w:rPr>
              <w:t xml:space="preserve">MEDIUM</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Client-side PDF library loading</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reports page</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T3: Performance</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18</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C8973F"/>
                <w:sz w:val="18"/>
                <w:szCs w:val="18"/>
              </w:rPr>
              <w:t xml:space="preserve">MEDIUM</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0 of 16 Playwright spec files exist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tests/</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T4: Testing</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19</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C8973F"/>
                <w:sz w:val="18"/>
                <w:szCs w:val="18"/>
              </w:rPr>
              <w:t xml:space="preserve">MEDIUM</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State logic scattered across 10 files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lib/credentialing, scanner</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T4: Scalability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20</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C8973F"/>
                <w:sz w:val="18"/>
                <w:szCs w:val="18"/>
              </w:rPr>
              <w:t xml:space="preserve">MEDIUM</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85 files with : any types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codebase-wide</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T4: Type Safety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21</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1A9E6D"/>
                <w:sz w:val="18"/>
                <w:szCs w:val="18"/>
              </w:rPr>
              <w:t xml:space="preserve">LOW</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No ESLint/Prettier config</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.eslintrc, .prettierrc</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T4: Tooling</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22</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1A9E6D"/>
                <w:sz w:val="18"/>
                <w:szCs w:val="18"/>
              </w:rPr>
              <w:t xml:space="preserve">LOW</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5 TODO/FIXME in production code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various</w:t>
            </w:r>
          </w:p>
        </w:tc>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5A6472"/>
                <w:sz w:val="18"/>
                <w:szCs w:val="18"/>
              </w:rPr>
              <w:t xml:space="preserve">T4: Cleanup</w:t>
            </w:r>
          </w:p>
        </w:tc>
      </w:tr>
    </w:tbl>
    <w:p>
      <w:r>
        <w:br w:type="page"/>
      </w:r>
    </w:p>
    <w:p>
      <w:pPr>
        <w:pStyle w:val="Heading1"/>
      </w:pPr>
      <w:r>
        <w:rPr>
          <w:rFonts w:ascii="Arial" w:cs="Arial" w:eastAsia="Arial" w:hAnsi="Arial"/>
          <w:b/>
          <w:bCs/>
          <w:color w:val="0B1E3D"/>
          <w:sz w:val="32"/>
          <w:szCs w:val="32"/>
        </w:rPr>
        <w:t xml:space="preserve">Appendix B: Archival Data Flow</w:t>
      </w:r>
    </w:p>
    <w:p>
      <w:pPr>
        <w:spacing w:after="80"/>
      </w:pPr>
    </w:p>
    <w:p>
      <w:pPr>
        <w:spacing w:after="120"/>
      </w:pPr>
      <w:r>
        <w:rPr>
          <w:rFonts w:ascii="Arial" w:cs="Arial" w:eastAsia="Arial" w:hAnsi="Arial"/>
          <w:color w:val="5A6472"/>
          <w:sz w:val="20"/>
          <w:szCs w:val="20"/>
        </w:rPr>
        <w:t xml:space="preserve">The following describes the data flow from active to archived states: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Active Tables</w:t>
            </w:r>
          </w:p>
        </w:tc>
        <w:tc>
          <w:tcPr>
            <w:tcW w:type="dxa" w:w="234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Archive Trigger</w:t>
            </w:r>
          </w:p>
        </w:tc>
        <w:tc>
          <w:tcPr>
            <w:tcW w:type="dxa" w:w="234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Archive Tables</w:t>
            </w:r>
          </w:p>
        </w:tc>
        <w:tc>
          <w:tcPr>
            <w:tcW w:type="dxa" w:w="234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Query Access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workflow_instances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resolved &gt; 90 days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workflow_instances_archive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Reports + Archive browser</w:t>
            </w:r>
          </w:p>
        </w:tc>
      </w:tr>
      <w:tr>
        <w:tc>
          <w:tcPr>
            <w:tcW w:type="dxa" w:w="234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workflow_tasks</w:t>
            </w:r>
          </w:p>
        </w:tc>
        <w:tc>
          <w:tcPr>
            <w:tcW w:type="dxa" w:w="234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parent workflow archived</w:t>
            </w:r>
          </w:p>
        </w:tc>
        <w:tc>
          <w:tcPr>
            <w:tcW w:type="dxa" w:w="234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workflow_tasks_archive</w:t>
            </w:r>
          </w:p>
        </w:tc>
        <w:tc>
          <w:tcPr>
            <w:tcW w:type="dxa" w:w="234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Reports + Archive browser</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workflow_events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parent workflow archived</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workflow_events_archive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Audit Trail report</w:t>
            </w:r>
          </w:p>
        </w:tc>
      </w:tr>
      <w:tr>
        <w:tc>
          <w:tcPr>
            <w:tcW w:type="dxa" w:w="234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alerts</w:t>
            </w:r>
          </w:p>
        </w:tc>
        <w:tc>
          <w:tcPr>
            <w:tcW w:type="dxa" w:w="234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resolved &gt; 60 days</w:t>
            </w:r>
          </w:p>
        </w:tc>
        <w:tc>
          <w:tcPr>
            <w:tcW w:type="dxa" w:w="234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alerts_archive</w:t>
            </w:r>
          </w:p>
        </w:tc>
        <w:tc>
          <w:tcPr>
            <w:tcW w:type="dxa" w:w="234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Reports + Archive browser</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payer_directory_snapshots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older than 180 days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payer_directory_snapshots_archive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Historical reports only</w:t>
            </w:r>
          </w:p>
        </w:tc>
      </w:tr>
    </w:tbl>
    <w:p>
      <w:pPr>
        <w:spacing w:after="120"/>
      </w:pPr>
    </w:p>
    <w:p>
      <w:pPr>
        <w:pStyle w:val="Heading3"/>
        <w:spacing w:after="80" w:before="240"/>
      </w:pPr>
      <w:r>
        <w:rPr>
          <w:rFonts w:ascii="Arial" w:cs="Arial" w:eastAsia="Arial" w:hAnsi="Arial"/>
          <w:b/>
          <w:bCs/>
          <w:color w:val="C8973F"/>
          <w:sz w:val="22"/>
          <w:szCs w:val="22"/>
        </w:rPr>
        <w:t xml:space="preserve">Archive Query Pattern (Reporting)</w:t>
      </w:r>
    </w:p>
    <w:p>
      <w:pPr>
        <w:spacing w:after="120"/>
      </w:pPr>
      <w:r>
        <w:rPr>
          <w:rFonts w:ascii="Arial" w:cs="Arial" w:eastAsia="Arial" w:hAnsi="Arial"/>
          <w:color w:val="5A6472"/>
          <w:sz w:val="20"/>
          <w:szCs w:val="20"/>
        </w:rPr>
        <w:t xml:space="preserve">When a report date range extends beyond the live retention window, the query engine automatically includes archive tables:</w:t>
      </w:r>
    </w:p>
    <w:p>
      <w:pPr>
        <w:spacing w:after="60"/>
      </w:pPr>
    </w:p>
    <w:p>
      <w:pPr>
        <w:spacing w:after="120"/>
      </w:pPr>
      <w:r>
        <w:rPr>
          <w:rFonts w:ascii="Courier New" w:cs="Courier New" w:eastAsia="Courier New" w:hAnsi="Courier New"/>
          <w:color w:val="0B1E3D"/>
          <w:sz w:val="18"/>
          <w:szCs w:val="18"/>
        </w:rPr>
        <w:t xml:space="preserve">SELECT id, status, ... FROM workflow_instances WHERE practice_website_id = $1 AND created_at BETWEEN $2 AND $3</w:t>
      </w:r>
    </w:p>
    <w:p>
      <w:pPr>
        <w:spacing w:after="120"/>
      </w:pPr>
      <w:r>
        <w:rPr>
          <w:rFonts w:ascii="Courier New" w:cs="Courier New" w:eastAsia="Courier New" w:hAnsi="Courier New"/>
          <w:b/>
          <w:bCs/>
          <w:color w:val="C8973F"/>
          <w:sz w:val="18"/>
          <w:szCs w:val="18"/>
        </w:rPr>
        <w:t xml:space="preserve">UNION ALL</w:t>
      </w:r>
    </w:p>
    <w:p>
      <w:pPr>
        <w:spacing w:after="120"/>
      </w:pPr>
      <w:r>
        <w:rPr>
          <w:rFonts w:ascii="Courier New" w:cs="Courier New" w:eastAsia="Courier New" w:hAnsi="Courier New"/>
          <w:color w:val="0B1E3D"/>
          <w:sz w:val="18"/>
          <w:szCs w:val="18"/>
        </w:rPr>
        <w:t xml:space="preserve">SELECT id, status, ... FROM workflow_instances_archive WHERE practice_website_id = $1 AND created_at BETWEEN $2 AND $3</w:t>
      </w:r>
    </w:p>
    <w:p>
      <w:pPr>
        <w:spacing w:after="120"/>
      </w:pPr>
      <w:r>
        <w:rPr>
          <w:rFonts w:ascii="Courier New" w:cs="Courier New" w:eastAsia="Courier New" w:hAnsi="Courier New"/>
          <w:color w:val="0B1E3D"/>
          <w:sz w:val="18"/>
          <w:szCs w:val="18"/>
        </w:rPr>
        <w:t xml:space="preserve">ORDER BY created_at DESC LIMIT $4 OFFSET $5</w:t>
      </w:r>
    </w:p>
    <w:p>
      <w:pPr>
        <w:spacing w:after="80"/>
      </w:pPr>
    </w:p>
    <w:p>
      <w:pPr>
        <w:spacing w:after="120"/>
      </w:pPr>
      <w:r>
        <w:rPr>
          <w:rFonts w:ascii="Arial" w:cs="Arial" w:eastAsia="Arial" w:hAnsi="Arial"/>
          <w:color w:val="5A6472"/>
          <w:sz w:val="20"/>
          <w:szCs w:val="20"/>
        </w:rPr>
        <w:t xml:space="preserve">This pattern is encapsulated in lib/reports/query-engine.ts so that report definitions do not need to know about archival. The engine checks if the requested date range predates the retention window and automatically adds the UNION ALL.</w:t>
      </w:r>
    </w:p>
    <w:p>
      <w:pPr>
        <w:spacing w:after="100"/>
      </w:pPr>
    </w:p>
    <w:p>
      <w:pPr>
        <w:pStyle w:val="Heading3"/>
        <w:spacing w:after="80" w:before="240"/>
      </w:pPr>
      <w:r>
        <w:rPr>
          <w:rFonts w:ascii="Arial" w:cs="Arial" w:eastAsia="Arial" w:hAnsi="Arial"/>
          <w:b/>
          <w:bCs/>
          <w:color w:val="C8973F"/>
          <w:sz w:val="22"/>
          <w:szCs w:val="22"/>
        </w:rPr>
        <w:t xml:space="preserve">Cron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Job</w:t>
            </w:r>
          </w:p>
        </w:tc>
        <w:tc>
          <w:tcPr>
            <w:tcW w:type="dxa" w:w="312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Schedule</w:t>
            </w:r>
          </w:p>
        </w:tc>
        <w:tc>
          <w:tcPr>
            <w:tcW w:type="dxa" w:w="3120"/>
            <w:tcBorders>
              <w:top w:val="single" w:color="D5D8DC" w:sz="1"/>
              <w:left w:val="single" w:color="D5D8DC" w:sz="1"/>
              <w:bottom w:val="single" w:color="D5D8DC" w:sz="1"/>
              <w:right w:val="single" w:color="D5D8DC" w:sz="1"/>
            </w:tcBorders>
            <w:shd w:fill="0B1E3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archive-workflows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Daily 2:00 AM UTC</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Move resolved workflows past retention to archive</w:t>
            </w:r>
          </w:p>
        </w:tc>
      </w:tr>
      <w:tr>
        <w:tc>
          <w:tcPr>
            <w:tcW w:type="dxa" w:w="312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archive-alerts</w:t>
            </w:r>
          </w:p>
        </w:tc>
        <w:tc>
          <w:tcPr>
            <w:tcW w:type="dxa" w:w="312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Daily 2:15 AM UTC</w:t>
            </w:r>
          </w:p>
        </w:tc>
        <w:tc>
          <w:tcPr>
            <w:tcW w:type="dxa" w:w="312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Move resolved alerts past retention to archive</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archive-snapshots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Weekly Sunday 3:00 AM</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5A6472"/>
                <w:sz w:val="18"/>
                <w:szCs w:val="18"/>
              </w:rPr>
              <w:t xml:space="preserve">Compact payer snapshots older than 180 days</w:t>
            </w:r>
          </w:p>
        </w:tc>
      </w:tr>
      <w:tr>
        <w:tc>
          <w:tcPr>
            <w:tcW w:type="dxa" w:w="312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archive-audit</w:t>
            </w:r>
          </w:p>
        </w:tc>
        <w:tc>
          <w:tcPr>
            <w:tcW w:type="dxa" w:w="312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Monthly 1st at 4:00 AM</w:t>
            </w:r>
          </w:p>
        </w:tc>
        <w:tc>
          <w:tcPr>
            <w:tcW w:type="dxa" w:w="3120"/>
            <w:tcBorders>
              <w:top w:val="single" w:color="D5D8DC" w:sz="1"/>
              <w:left w:val="single" w:color="D5D8DC" w:sz="1"/>
              <w:bottom w:val="single" w:color="D5D8DC" w:sz="1"/>
              <w:right w:val="single" w:color="D5D8DC" w:sz="1"/>
            </w:tcBorders>
            <w:shd w:fill="F5F6F7" w:val="clear"/>
            <w:tcMar>
              <w:top w:type="dxa" w:w="80"/>
              <w:left w:type="dxa" w:w="120"/>
              <w:bottom w:type="dxa" w:w="80"/>
              <w:right w:type="dxa" w:w="120"/>
            </w:tcMar>
          </w:tcPr>
          <w:p>
            <w:r>
              <w:rPr>
                <w:rFonts w:ascii="Arial" w:cs="Arial" w:eastAsia="Arial" w:hAnsi="Arial"/>
                <w:color w:val="5A6472"/>
                <w:sz w:val="18"/>
                <w:szCs w:val="18"/>
              </w:rPr>
              <w:t xml:space="preserve">Generate monthly archive summary report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rPr>
        <w:rFonts w:ascii="Arial" w:cs="Arial" w:eastAsia="Arial" w:hAnsi="Arial"/>
        <w:color w:val="5A6472"/>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73F" w:sz="4" w:space="1"/>
      </w:pBdr>
      <w:tabs>
        <w:tab w:val="right" w:pos="9026"/>
      </w:tabs>
    </w:pPr>
    <w:r>
      <w:rPr>
        <w:rFonts w:ascii="Arial" w:cs="Arial" w:eastAsia="Arial" w:hAnsi="Arial"/>
        <w:i/>
        <w:iCs/>
        <w:color w:val="5A6472"/>
        <w:sz w:val="16"/>
        <w:szCs w:val="16"/>
      </w:rPr>
      <w:t xml:space="preserve">KairoLogic Sentry</w:t>
    </w:r>
    <w:r>
      <w:rPr>
        <w:rFonts w:ascii="Arial" w:cs="Arial" w:eastAsia="Arial" w:hAnsi="Arial"/>
        <w:i/>
        <w:iCs/>
        <w:color w:val="5A6472"/>
        <w:sz w:val="16"/>
        <w:szCs w:val="16"/>
      </w:rPr>
      <w:t xml:space="preserve">	Production Readiness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E3D"/>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B1E3D"/>
      <w:sz w:val="26"/>
      <w:szCs w:val="26"/>
    </w:rPr>
  </w:style>
  <w:style w:type="paragraph" w:styleId="Heading3">
    <w:name w:val="Heading 3"/>
    <w:basedOn w:val="Normal"/>
    <w:next w:val="Normal"/>
    <w:qFormat/>
    <w:pPr>
      <w:spacing w:after="80" w:before="240"/>
      <w:outlineLvl w:val="2"/>
    </w:pPr>
    <w:rPr>
      <w:rFonts w:ascii="Arial" w:cs="Arial" w:eastAsia="Arial" w:hAnsi="Arial"/>
      <w:b/>
      <w:bCs/>
      <w:color w:val="C897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2026-03-30T04:04:00.652Z</dcterms:created>
  <dcterms:modified xsi:type="dcterms:W3CDTF">2026-03-30T04:04:00.652Z</dcterms:modified>
</cp:coreProperties>
</file>

<file path=docProps/custom.xml><?xml version="1.0" encoding="utf-8"?>
<Properties xmlns="http://schemas.openxmlformats.org/officeDocument/2006/custom-properties" xmlns:vt="http://schemas.openxmlformats.org/officeDocument/2006/docPropsVTypes"/>
</file>