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KAIROLOGIC</w:t>
      </w:r>
    </w:p>
    <w:p>
      <w:pPr>
        <w:spacing w:after="100"/>
        <w:jc w:val="center"/>
      </w:pPr>
      <w:r>
        <w:rPr>
          <w:rFonts w:ascii="Arial" w:cs="Arial" w:eastAsia="Arial" w:hAnsi="Arial"/>
          <w:color w:val="2E75B6"/>
          <w:sz w:val="40"/>
          <w:szCs w:val="40"/>
        </w:rPr>
        <w:t xml:space="preserve">Red Team Pricing Analysis</w:t>
      </w:r>
    </w:p>
    <w:p>
      <w:pPr>
        <w:spacing w:after="80"/>
        <w:jc w:val="center"/>
      </w:pPr>
      <w:r>
        <w:rPr>
          <w:rFonts w:ascii="Arial" w:cs="Arial" w:eastAsia="Arial" w:hAnsi="Arial"/>
          <w:color w:val="2E75B6"/>
          <w:sz w:val="40"/>
          <w:szCs w:val="40"/>
        </w:rPr>
        <w:t xml:space="preserve">&amp; Go-To-Market Strategy</w:t>
      </w:r>
    </w:p>
    <w:p>
      <w:pPr>
        <w:pBdr>
          <w:bottom w:val="single" w:color="2E75B6" w:sz="6" w:space="1"/>
        </w:pBdr>
        <w:spacing w:after="400"/>
        <w:jc w:val="center"/>
      </w:pPr>
    </w:p>
    <w:p>
      <w:pPr>
        <w:spacing w:after="100"/>
        <w:jc w:val="center"/>
      </w:pPr>
      <w:r>
        <w:rPr>
          <w:rFonts w:ascii="Arial" w:cs="Arial" w:eastAsia="Arial" w:hAnsi="Arial"/>
          <w:color w:val="666666"/>
          <w:sz w:val="22"/>
          <w:szCs w:val="22"/>
        </w:rPr>
        <w:t xml:space="preserve">Capability Audit | Pricing Feasibility | MVP Recommendation</w:t>
      </w:r>
    </w:p>
    <w:p>
      <w:pPr>
        <w:spacing w:after="100"/>
        <w:jc w:val="center"/>
      </w:pPr>
      <w:r>
        <w:rPr>
          <w:rFonts w:ascii="Arial" w:cs="Arial" w:eastAsia="Arial" w:hAnsi="Arial"/>
          <w:color w:val="666666"/>
          <w:sz w:val="22"/>
          <w:szCs w:val="22"/>
        </w:rPr>
        <w:t xml:space="preserve">April 3, 2026</w:t>
      </w:r>
    </w:p>
    <w:p>
      <w:pPr>
        <w:spacing w:after="1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document presents a critical analysis of KairoLogic's proposed four-tier pricing strategy against the platform's </w:t>
      </w:r>
      <w:r>
        <w:rPr>
          <w:b/>
          <w:bCs/>
        </w:rPr>
        <w:t xml:space="preserve">actual production capabilities</w:t>
      </w:r>
      <w:r>
        <w:t xml:space="preserve"> as of April 2026. The analysis was conducted by auditing every feature promised in the pricing document against the codebase, database schema, and deployed infrastructure.</w:t>
      </w:r>
    </w:p>
    <w:p>
      <w:pPr>
        <w:spacing w:after="120"/>
      </w:pPr>
      <w:r>
        <w:rPr>
          <w:b/>
          <w:bCs/>
        </w:rPr>
        <w:t xml:space="preserve">Key finding: </w:t>
      </w:r>
      <w:r>
        <w:t xml:space="preserve">The core product (payer directory monitoring, mismatch detection, compliance alerts, and workflow automation) is substantially more mature than a typical pre-launch platform. However, Growth and Enterprise tier features are largely unbuilt, and the proposed viral mechanics have no implementation. Launching with four tiers risks overpromising to the exact buyer persona (risk-averse practice managers) who will verify every claim before paying.</w:t>
      </w:r>
    </w:p>
    <w:p>
      <w:pPr>
        <w:spacing w:after="120"/>
      </w:pPr>
      <w:r>
        <w:rPr>
          <w:b/>
          <w:bCs/>
        </w:rPr>
        <w:t xml:space="preserve">Recommendation: </w:t>
      </w:r>
      <w:r>
        <w:t xml:space="preserve">Launch with two tiers (Free + Pro at $29/provider/month), nail the core value proposition, and expand pricing as capabilities catch up.</w:t>
      </w:r>
    </w:p>
    <w:p>
      <w:r>
        <w:br w:type="page"/>
      </w:r>
    </w:p>
    <w:p>
      <w:pPr>
        <w:pStyle w:val="Heading1"/>
      </w:pPr>
      <w:r>
        <w:t xml:space="preserve">1. Proposed Pricing Structure</w:t>
      </w:r>
    </w:p>
    <w:p>
      <w:pPr>
        <w:spacing w:after="120"/>
      </w:pPr>
      <w:r>
        <w:t xml:space="preserve">The pricing strategy document proposes four tiers targeting different practice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Solo / small practices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 providers, weekly scans, 3 payers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$29/prov/mo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Growing practices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Daily scans, all payers, real-time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Growth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$19/prov/mo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Multi-location groups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CAQH sync, multi-location, custom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MSOs / billing companies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API, EHR, white-label, SOC 2</w:t>
            </w:r>
          </w:p>
        </w:tc>
      </w:tr>
    </w:tbl>
    <w:p>
      <w:pPr>
        <w:spacing w:after="200"/>
      </w:pPr>
    </w:p>
    <w:p>
      <w:pPr>
        <w:pStyle w:val="Heading1"/>
      </w:pPr>
      <w:r>
        <w:t xml:space="preserve">2. Capability Scorecard</w:t>
      </w:r>
    </w:p>
    <w:p>
      <w:pPr>
        <w:spacing w:after="120"/>
      </w:pPr>
      <w:r>
        <w:t xml:space="preserve">Every feature promised across the four tiers was audited against the production codebase. Each capability is rated as Production (fully working and deployed), Partial (exists but with limitations), Pending (infrastructure ready, awaiting credentials or config), or Missing (not implemented).</w:t>
      </w:r>
    </w:p>
    <w:p>
      <w:pPr>
        <w:pStyle w:val="Heading2"/>
      </w:pPr>
      <w:r>
        <w:t xml:space="preserve">2.1 Core Platform (Scan + Detect +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Payer Directory Monitoring</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b/>
                <w:bCs/>
                <w:color w:val="2E8B57"/>
              </w:rPr>
              <w:t xml:space="preserve"> [PRODUCTION] </w:t>
            </w:r>
          </w:p>
        </w:tc>
        <w:tc>
          <w:tcPr>
            <w:tcW w:type="dxa" w:w="4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20"/>
                <w:szCs w:val="20"/>
              </w:rPr>
              <w:t xml:space="preserve">FHIR API integrations with UHC (Optum Flex), Aetna, Cigna, and Humana. Dual search strategies (NPI + name fallback). OAuth2 token caching, rate limiting, retry logic, re-verification.</w:t>
            </w:r>
          </w:p>
        </w:tc>
      </w:tr>
      <w:tr>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sz w:val="20"/>
                <w:szCs w:val="20"/>
              </w:rPr>
              <w:t xml:space="preserve">BCBS TX Integration</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b/>
                <w:bCs/>
                <w:color w:val="E67E22"/>
              </w:rPr>
              <w:t xml:space="preserve"> [PENDING CREDS] </w:t>
            </w:r>
          </w:p>
        </w:tc>
        <w:tc>
          <w:tcPr>
            <w:tcW w:type="dxa" w:w="4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20"/>
                <w:szCs w:val="20"/>
              </w:rPr>
              <w:t xml:space="preserve">Endpoint configured with OAuth2 auth, scraping fallback built (Browserless). Awaiting client ID credentials only. Infrastructure is production-ready.</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Mismatch Detection Engine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b/>
                <w:bCs/>
                <w:color w:val="2E8B57"/>
              </w:rPr>
              <w:t xml:space="preserve"> [PRODUCTION] </w:t>
            </w:r>
          </w:p>
        </w:tc>
        <w:tc>
          <w:tcPr>
            <w:tcW w:type="dxa" w:w="4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20"/>
                <w:szCs w:val="20"/>
              </w:rPr>
              <w:t xml:space="preserve">Cross-source comparison: listing status, address, phone, specialty (NUCC), name. Priority-based severity. CAQH-aware fix routing.</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Confidence Scoring</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b/>
                <w:bCs/>
                <w:color w:val="2E8B57"/>
              </w:rPr>
              <w:t xml:space="preserve"> [PRODUCTION] </w:t>
            </w:r>
          </w:p>
        </w:tc>
        <w:tc>
          <w:tcPr>
            <w:tcW w:type="dxa" w:w="4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20"/>
                <w:szCs w:val="20"/>
              </w:rPr>
              <w:t xml:space="preserve">10-signal weighted model (0-1 score). Three tiers: confirmed, unverified, review. Wired into scan pipeline with tiered auto-action. Backfill complete.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Email Alerts (Resend)</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b/>
                <w:bCs/>
                <w:color w:val="2E8B57"/>
              </w:rPr>
              <w:t xml:space="preserve"> [PRODUCTION] </w:t>
            </w:r>
          </w:p>
        </w:tc>
        <w:tc>
          <w:tcPr>
            <w:tcW w:type="dxa" w:w="4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20"/>
                <w:szCs w:val="20"/>
              </w:rPr>
              <w:t xml:space="preserve">Full Resend integration across workflow notifications, credentialing lifecycle, campaign alerts, and purchase confirmations. Tagging for analytics.</w:t>
            </w:r>
          </w:p>
        </w:tc>
      </w:tr>
      <w:tr>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sz w:val="20"/>
                <w:szCs w:val="20"/>
              </w:rPr>
              <w:t xml:space="preserve">Compliance Scanning</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b/>
                <w:bCs/>
                <w:color w:val="D4A017"/>
              </w:rPr>
              <w:t xml:space="preserve"> [PARTIAL] </w:t>
            </w:r>
          </w:p>
        </w:tc>
        <w:tc>
          <w:tcPr>
            <w:tcW w:type="dxa" w:w="4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20"/>
                <w:szCs w:val="20"/>
              </w:rPr>
              <w:t xml:space="preserve">SB 1188 and HB 149 rules active for Texas. AI-05 (EHR vendor AI disclosure) detection referenced but thin. No multi-state rules.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Workflow Automation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b/>
                <w:bCs/>
                <w:color w:val="2E8B57"/>
              </w:rPr>
              <w:t xml:space="preserve"> [PRODUCTION] </w:t>
            </w:r>
          </w:p>
        </w:tc>
        <w:tc>
          <w:tcPr>
            <w:tcW w:type="dxa" w:w="4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20"/>
                <w:szCs w:val="20"/>
              </w:rPr>
              <w:t xml:space="preserve">Full create/assign/track/resolve lifecycle. Auto-confirmed expected changes. Overdue escalation (14d warning, 28d action). Payer acceptance gap workflows.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Acceptance Gap Detection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b/>
                <w:bCs/>
                <w:color w:val="2E8B57"/>
              </w:rPr>
              <w:t xml:space="preserve"> [PRODUCTION] </w:t>
            </w:r>
          </w:p>
        </w:tc>
        <w:tc>
          <w:tcPr>
            <w:tcW w:type="dxa" w:w="4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sz w:val="20"/>
                <w:szCs w:val="20"/>
              </w:rPr>
              <w:t xml:space="preserve">Identifies practices claiming payer acceptance but with &gt;50% of providers missing from that directory. Two-layer detection with re-verification.</w:t>
            </w:r>
          </w:p>
        </w:tc>
      </w:tr>
    </w:tbl>
    <w:p>
      <w:pPr>
        <w:spacing w:after="200"/>
      </w:pPr>
    </w:p>
    <w:p>
      <w:pPr>
        <w:pStyle w:val="Heading2"/>
      </w:pPr>
      <w:r>
        <w:t xml:space="preserve">2.2 Growth &amp; Enterprise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Multi-Location Dashboard</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multi-location data model, roll-up KPIs, or location management UI exists. Significant build required.</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CAQH Bidirectional Sync</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Mismatch engine is CAQH-aware (routes fixes correctly), but no actual CAQH ProView API integration exists. Complex build.</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Custom Compliance Rules</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Only hardcoded TX rules. No rule builder, no user-defined compliance checks, no multi-state rule engine.</w:t>
            </w:r>
          </w:p>
        </w:tc>
      </w:tr>
      <w:tr>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bCs/>
                <w:sz w:val="20"/>
                <w:szCs w:val="20"/>
              </w:rPr>
              <w:t xml:space="preserve">Team Roles &amp; Permissions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b/>
                <w:bCs/>
                <w:color w:val="D4A017"/>
              </w:rPr>
              <w:t xml:space="preserve"> [PARTIAL] </w:t>
            </w:r>
          </w:p>
        </w:tc>
        <w:tc>
          <w:tcPr>
            <w:tcW w:type="dxa" w:w="4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20"/>
                <w:szCs w:val="20"/>
              </w:rPr>
              <w:t xml:space="preserve">Three hardcoded roles (admin, viewer, manager). No custom roles, no granular permission controls, no role builder.</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EHR/PM Integrations</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integrations with any EHR or practice management system. No HL7/FHIR clinical data exchange.</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Public API</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Internal API routes exist but no documented public API, no API keys, no rate-limited external access.</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White-Label Reporting</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PDF export exists but no white-label customization, no branding controls, no MSO-grade reporting.</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SOC 2 / BAA</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compliance certifications in place. No BAA process documented.</w:t>
            </w:r>
          </w:p>
        </w:tc>
      </w:tr>
    </w:tbl>
    <w:p>
      <w:pPr>
        <w:spacing w:after="200"/>
      </w:pPr>
    </w:p>
    <w:p>
      <w:pPr>
        <w:pStyle w:val="Heading2"/>
      </w:pPr>
      <w:r>
        <w:t xml:space="preserve">2.3 Viral &amp; Growth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Shareable Health Score Card</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shareable asset, no public score page, no embeddable widget.</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Referral Program</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referral tracking, no reward system, no invite flow.</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Free-to-Paid Upgrade Prompts</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tier-gating in UX, no upgrade nudges, no feature limit enforcement.</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Viral Coefficient Tracking</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b/>
                <w:bCs/>
                <w:color w:val="C0392B"/>
              </w:rPr>
              <w:t xml:space="preserve"> [MISSING] </w:t>
            </w:r>
          </w:p>
        </w:tc>
        <w:tc>
          <w:tcPr>
            <w:tcW w:type="dxa" w:w="4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sz w:val="20"/>
                <w:szCs w:val="20"/>
              </w:rPr>
              <w:t xml:space="preserve">No analytics on user-to-user spread. Revenue projections assume 3x viral coefficient with zero infrastructure.</w:t>
            </w:r>
          </w:p>
        </w:tc>
      </w:tr>
    </w:tbl>
    <w:p>
      <w:pPr>
        <w:spacing w:after="200"/>
      </w:pPr>
    </w:p>
    <w:p>
      <w:r>
        <w:br w:type="page"/>
      </w:r>
    </w:p>
    <w:p>
      <w:pPr>
        <w:pStyle w:val="Heading1"/>
      </w:pPr>
      <w:r>
        <w:t xml:space="preserve">3. Tier-by-Tier Feasibility Assessment</w:t>
      </w:r>
    </w:p>
    <w:p>
      <w:pPr>
        <w:pStyle w:val="Heading2"/>
      </w:pPr>
      <w:r>
        <w:t xml:space="preserve">3.1 Free Tier: 70% Deliverable</w:t>
      </w:r>
    </w:p>
    <w:p>
      <w:pPr>
        <w:spacing w:after="120"/>
      </w:pPr>
      <w:r>
        <w:t xml:space="preserve">The Free tier is the most feasible to launch. The core monitoring loop (scan payer directories, detect mismatches, send alerts) works end-to-end for 4 major payers. The main gaps are the </w:t>
      </w:r>
      <w:r>
        <w:rPr>
          <w:b/>
          <w:bCs/>
        </w:rPr>
        <w:t xml:space="preserve">shareable score card</w:t>
      </w:r>
      <w:r>
        <w:t xml:space="preserve"> (a viral mechanic that doesn't block core functionality) and </w:t>
      </w:r>
      <w:r>
        <w:rPr>
          <w:b/>
          <w:bCs/>
        </w:rPr>
        <w:t xml:space="preserve">tier-based usage limits</w:t>
      </w:r>
      <w:r>
        <w:t xml:space="preserve"> (provider count caps, scan frequency restrictions) which need UX enforcement logic.</w:t>
      </w:r>
    </w:p>
    <w:p>
      <w:pPr>
        <w:spacing w:after="120"/>
      </w:pPr>
      <w:r>
        <w:rPr>
          <w:b/>
          <w:bCs/>
        </w:rPr>
        <w:t xml:space="preserve">Verdict: </w:t>
      </w:r>
      <w:r>
        <w:rPr>
          <w:color w:val="2E8B57"/>
        </w:rPr>
        <w:t xml:space="preserve">Shippable with minor work. </w:t>
      </w:r>
      <w:r>
        <w:t xml:space="preserve">Add provider count enforcement + scan frequency limits. Defer the shareable score card to a later sprint.</w:t>
      </w:r>
    </w:p>
    <w:p>
      <w:pPr>
        <w:pStyle w:val="Heading2"/>
      </w:pPr>
      <w:r>
        <w:t xml:space="preserve">3.2 Starter Tier: 75% Deliverable</w:t>
      </w:r>
    </w:p>
    <w:p>
      <w:pPr>
        <w:spacing w:after="120"/>
      </w:pPr>
      <w:r>
        <w:t xml:space="preserve">This is where KairoLogic's core strength shows. With four production FHIR integrations (UHC, Aetna, Cigna, Humana), the </w:t>
      </w:r>
      <w:r>
        <w:rPr>
          <w:b/>
          <w:bCs/>
        </w:rPr>
        <w:t xml:space="preserve">daily payer directory scan promise is real</w:t>
      </w:r>
      <w:r>
        <w:t xml:space="preserve">. Mismatch detection with severity-based priority, Resend-powered real-time alerts, and workflow automation are all production-grade. Confidence scoring adds intelligent triage. The gaps are </w:t>
      </w:r>
      <w:r>
        <w:rPr>
          <w:b/>
          <w:bCs/>
        </w:rPr>
        <w:t xml:space="preserve">remediation templates</w:t>
      </w:r>
      <w:r>
        <w:t xml:space="preserve"> (detection works, templated fix instructions are thin) and </w:t>
      </w:r>
      <w:r>
        <w:rPr>
          <w:b/>
          <w:bCs/>
        </w:rPr>
        <w:t xml:space="preserve">EHR vendor AI disclosure detection</w:t>
      </w:r>
      <w:r>
        <w:t xml:space="preserve"> (referenced but not fully implemented).</w:t>
      </w:r>
    </w:p>
    <w:p>
      <w:pPr>
        <w:spacing w:after="120"/>
      </w:pPr>
      <w:r>
        <w:rPr>
          <w:b/>
          <w:bCs/>
        </w:rPr>
        <w:t xml:space="preserve">Verdict: </w:t>
      </w:r>
      <w:r>
        <w:rPr>
          <w:color w:val="2E8B57"/>
        </w:rPr>
        <w:t xml:space="preserve">Strong foundation. </w:t>
      </w:r>
      <w:r>
        <w:t xml:space="preserve">This tier delivers genuine, differentiated value today. Fill in remediation templates and the $29/provider/month price point is defensible.</w:t>
      </w:r>
    </w:p>
    <w:p>
      <w:pPr>
        <w:pStyle w:val="Heading2"/>
      </w:pPr>
      <w:r>
        <w:t xml:space="preserve">3.3 Growth Tier: 25% Deliverable</w:t>
      </w:r>
    </w:p>
    <w:p>
      <w:pPr>
        <w:spacing w:after="120"/>
      </w:pPr>
      <w:r>
        <w:t xml:space="preserve">Nearly every differentiating feature in this tier is either missing or a stub. Multi-location dashboard, CAQH bidirectional sync, custom compliance rules, and granular team permissions all require significant engineering. The only fully working feature here is </w:t>
      </w:r>
      <w:r>
        <w:rPr>
          <w:b/>
          <w:bCs/>
        </w:rPr>
        <w:t xml:space="preserve">workflow automation</w:t>
      </w:r>
      <w:r>
        <w:t xml:space="preserve">, which is already included in Starter.</w:t>
      </w:r>
    </w:p>
    <w:p>
      <w:pPr>
        <w:spacing w:after="120"/>
      </w:pPr>
      <w:r>
        <w:rPr>
          <w:b/>
          <w:bCs/>
        </w:rPr>
        <w:t xml:space="preserve">Verdict: </w:t>
      </w:r>
      <w:r>
        <w:rPr>
          <w:color w:val="C0392B"/>
        </w:rPr>
        <w:t xml:space="preserve">Do not launch this tier. </w:t>
      </w:r>
      <w:r>
        <w:t xml:space="preserve">Promising multi-location and CAQH features that don't exist will damage credibility with the MSO/group practice buyers this tier targets. These buyers will test every claim during evaluation.</w:t>
      </w:r>
    </w:p>
    <w:p>
      <w:pPr>
        <w:pStyle w:val="Heading2"/>
      </w:pPr>
      <w:r>
        <w:t xml:space="preserve">3.4 Enterprise Tier: 10% Deliverable</w:t>
      </w:r>
    </w:p>
    <w:p>
      <w:pPr>
        <w:spacing w:after="120"/>
      </w:pPr>
      <w:r>
        <w:t xml:space="preserve">This tier is entirely aspirational. No public API, no EHR integrations, no white-label reporting, no SOC 2 certification, no BAA process. The only element that exists is Stripe billing infrastructure.</w:t>
      </w:r>
    </w:p>
    <w:p>
      <w:pPr>
        <w:spacing w:after="120"/>
      </w:pPr>
      <w:r>
        <w:rPr>
          <w:b/>
          <w:bCs/>
        </w:rPr>
        <w:t xml:space="preserve">Verdict: </w:t>
      </w:r>
      <w:r>
        <w:rPr>
          <w:color w:val="C0392B"/>
        </w:rPr>
        <w:t xml:space="preserve">Vaporware. </w:t>
      </w:r>
      <w:r>
        <w:t xml:space="preserve">Remove from pricing page entirely. Handle enterprise inquiries through direct sales conversations when they arise organically.</w:t>
      </w:r>
    </w:p>
    <w:p>
      <w:r>
        <w:br w:type="page"/>
      </w:r>
    </w:p>
    <w:p>
      <w:pPr>
        <w:pStyle w:val="Heading1"/>
      </w:pPr>
      <w:r>
        <w:t xml:space="preserve">4. Revenue Projection Reality Check</w:t>
      </w:r>
    </w:p>
    <w:p>
      <w:pPr>
        <w:spacing w:after="120"/>
      </w:pPr>
      <w:r>
        <w:t xml:space="preserve">The pricing document projects $112K MRR by month 12 based on the following assumptions:</w:t>
      </w:r>
    </w:p>
    <w:p>
      <w:pPr>
        <w:pStyle w:val="ListParagraph"/>
        <w:numPr>
          <w:ilvl w:val="0"/>
          <w:numId w:val="2"/>
        </w:numPr>
        <w:spacing w:after="80"/>
      </w:pPr>
      <w:r>
        <w:t xml:space="preserve">2,000 free signups in year one</w:t>
      </w:r>
    </w:p>
    <w:p>
      <w:pPr>
        <w:pStyle w:val="ListParagraph"/>
        <w:numPr>
          <w:ilvl w:val="0"/>
          <w:numId w:val="2"/>
        </w:numPr>
        <w:spacing w:after="80"/>
      </w:pPr>
      <w:r>
        <w:t xml:space="preserve">12% free-to-paid conversion rate</w:t>
      </w:r>
    </w:p>
    <w:p>
      <w:pPr>
        <w:pStyle w:val="ListParagraph"/>
        <w:numPr>
          <w:ilvl w:val="0"/>
          <w:numId w:val="2"/>
        </w:numPr>
        <w:spacing w:after="80"/>
      </w:pPr>
      <w:r>
        <w:t xml:space="preserve">3x viral coefficient</w:t>
      </w:r>
    </w:p>
    <w:p>
      <w:pPr>
        <w:pStyle w:val="ListParagraph"/>
        <w:numPr>
          <w:ilvl w:val="0"/>
          <w:numId w:val="2"/>
        </w:numPr>
        <w:spacing w:after="200"/>
      </w:pPr>
      <w:r>
        <w:t xml:space="preserve">Progressive tier upgrades (Starter to Growth to Enterprise)</w:t>
      </w:r>
    </w:p>
    <w:p>
      <w:pPr>
        <w:spacing w:after="120"/>
      </w:pPr>
      <w:r>
        <w:rPr>
          <w:b/>
          <w:bCs/>
        </w:rPr>
        <w:t xml:space="preserve">The viral coefficient assumption is the critical flaw. </w:t>
      </w:r>
      <w:r>
        <w:t xml:space="preserve">A 3x viral coefficient means every user brings in 3 additional users. This requires four viral loops (shareable score cards, mismatch report sharing, multi-practice network effects, compliance deadline urgency prompts), none of which are built. Without viral mechanics, customer acquisition depends entirely on paid marketing and direct sales, which fundamentally changes the unit economics.</w:t>
      </w:r>
    </w:p>
    <w:p>
      <w:pPr>
        <w:spacing w:after="120"/>
      </w:pPr>
      <w:r>
        <w:t xml:space="preserve">The 12% conversion rate is achievable </w:t>
      </w:r>
      <w:r>
        <w:rPr>
          <w:b/>
          <w:bCs/>
        </w:rPr>
        <w:t xml:space="preserve">if</w:t>
      </w:r>
      <w:r>
        <w:t xml:space="preserve"> the free tier delivers enough value to create upgrade urgency. With 4 working payer APIs, this is plausible, though conversion will depend on how well the mismatch-to-resolution flow demonstrates ROI during the free trial period.</w:t>
      </w:r>
    </w:p>
    <w:p>
      <w:r>
        <w:br w:type="page"/>
      </w:r>
    </w:p>
    <w:p>
      <w:pPr>
        <w:pStyle w:val="Heading1"/>
      </w:pPr>
      <w:r>
        <w:t xml:space="preserve">5. Recommended GTM Strategy</w:t>
      </w:r>
    </w:p>
    <w:p>
      <w:pPr>
        <w:pStyle w:val="Heading2"/>
      </w:pPr>
      <w:r>
        <w:t xml:space="preserve">5.1 Launch with Two Tiers</w:t>
      </w:r>
    </w:p>
    <w:p>
      <w:pPr>
        <w:spacing w:after="120"/>
      </w:pPr>
      <w:r>
        <w:t xml:space="preserve">Strip the pricing page down to what you can actually deliver. Two tiers, honest feature descriptions, no vaporware.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 ($29/prov/mo)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Providers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Up to 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Unlimited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Scan Frequency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Daily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Payer Coverage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Medicare + 2 payers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UHC, Aetna, Cigna, Humana + BCBS TX (coming soon)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Mismatch Alerts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Weekly digest email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Real-time alerts via Resend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Compliance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SB 1188 / HB 149 status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compliance scanning + alerts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Confidence Scoring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View 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scoring + review queue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Workflow Automation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i/>
                <w:iCs/>
                <w:color w:val="666666"/>
                <w:sz w:val="20"/>
                <w:szCs w:val="20"/>
              </w:rPr>
              <w:t xml:space="preserve">Not included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lifecycle (create, assign, escalate, resolve)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License Tracking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i/>
                <w:iCs/>
                <w:color w:val="666666"/>
                <w:sz w:val="20"/>
                <w:szCs w:val="20"/>
              </w:rPr>
              <w:t xml:space="preserve">Not included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Expiration tracking + renewal workflows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Reports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PDF report / month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Unlimited PDF reports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Support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Community / self-serve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Email support (24h response)</w:t>
            </w:r>
          </w:p>
        </w:tc>
      </w:tr>
    </w:tbl>
    <w:p>
      <w:pPr>
        <w:spacing w:after="200"/>
      </w:pPr>
    </w:p>
    <w:p>
      <w:pPr>
        <w:pStyle w:val="Heading2"/>
      </w:pPr>
      <w:r>
        <w:t xml:space="preserve">5.2 Pricing Rationale</w:t>
      </w:r>
    </w:p>
    <w:p>
      <w:pPr>
        <w:spacing w:after="120"/>
      </w:pPr>
      <w:r>
        <w:rPr>
          <w:b/>
          <w:bCs/>
        </w:rPr>
        <w:t xml:space="preserve">Why $29/provider/month: </w:t>
      </w:r>
      <w:r>
        <w:t xml:space="preserve">With four production-grade payer integrations, real-time Resend-powered alerts, mismatch detection with severity-based priority, and workflow automation, KairoLogic delivers genuine monitoring depth. A single prevented denied claim or caught directory error pays for months of service. At $29, the platform is still 4-8x cheaper than Medallion and Modio while offering automated payer directory monitoring they don't provide. The value prop is concrete: preventing revenue leakage from incorrect payer listings.</w:t>
      </w:r>
    </w:p>
    <w:p>
      <w:pPr>
        <w:spacing w:after="120"/>
      </w:pPr>
      <w:r>
        <w:rPr>
          <w:b/>
          <w:bCs/>
        </w:rPr>
        <w:t xml:space="preserve">Why not $19: </w:t>
      </w:r>
      <w:r>
        <w:t xml:space="preserve">The original analysis recommended $19 based on an underestimate of payer coverage. With 4 active FHIR integrations (not 1 scraper), the platform delivers substantially more value than initially assessed. $29 is defensible and leaves room for volume discounts without margin erosion.</w:t>
      </w:r>
    </w:p>
    <w:p>
      <w:pPr>
        <w:pStyle w:val="Heading2"/>
      </w:pPr>
      <w:r>
        <w:t xml:space="preserve">5.3 GTM Positioning</w:t>
      </w:r>
    </w:p>
    <w:p>
      <w:pPr>
        <w:spacing w:after="120"/>
      </w:pPr>
      <w:r>
        <w:rPr>
          <w:b/>
          <w:bCs/>
        </w:rPr>
        <w:t xml:space="preserve">Recommended tagline: </w:t>
      </w:r>
      <w:r>
        <w:t xml:space="preserve">"The only tool that automatically monitors your payer directory listings and catches mismatches before they cost you money."</w:t>
      </w:r>
    </w:p>
    <w:p>
      <w:pPr>
        <w:spacing w:after="120"/>
      </w:pPr>
      <w:r>
        <w:t xml:space="preserve">This message is specific, verifiable, and backed by the actual product. It targets the exact pain point that practice managers understand viscerally: denied claims and lost revenue from incorrect payer directory data.</w:t>
      </w:r>
    </w:p>
    <w:p>
      <w:pPr>
        <w:spacing w:after="120"/>
      </w:pPr>
      <w:r>
        <w:rPr>
          <w:b/>
          <w:bCs/>
        </w:rPr>
        <w:t xml:space="preserve">Target market (Phase 1): </w:t>
      </w:r>
      <w:r>
        <w:t xml:space="preserve">Texas-based medical and surgical practices with 5-50 providers. This is where compliance scanning (SB 1188, HB 149) adds differentiated value on top of payer monitoring.</w:t>
      </w:r>
    </w:p>
    <w:p>
      <w:pPr>
        <w:spacing w:after="120"/>
      </w:pPr>
      <w:r>
        <w:rPr>
          <w:b/>
          <w:bCs/>
        </w:rPr>
        <w:t xml:space="preserve">Target market (Phase 2): </w:t>
      </w:r>
      <w:r>
        <w:t xml:space="preserve">Expand to multi-state practices once compliance rules are built for additional states. BCBS TX activation (pending credentials) adds the fifth major payer.</w:t>
      </w:r>
    </w:p>
    <w:p>
      <w:pPr>
        <w:pStyle w:val="Heading2"/>
      </w:pPr>
      <w:r>
        <w:t xml:space="preserve">5.4 GTM Channels</w:t>
      </w:r>
    </w:p>
    <w:p>
      <w:pPr>
        <w:pStyle w:val="ListParagraph"/>
        <w:numPr>
          <w:ilvl w:val="0"/>
          <w:numId w:val="3"/>
        </w:numPr>
        <w:spacing w:after="80"/>
      </w:pPr>
      <w:r>
        <w:rPr>
          <w:b/>
          <w:bCs/>
        </w:rPr>
        <w:t xml:space="preserve">Direct outreach to TX practices: </w:t>
      </w:r>
      <w:r>
        <w:t xml:space="preserve">Use the existing NPPES targeting pipeline and campaign infrastructure (already built with Resend batch sending) to reach practices with active Medicare/Medicaid providers who likely have payer directory issues.</w:t>
      </w:r>
    </w:p>
    <w:p>
      <w:pPr>
        <w:pStyle w:val="ListParagraph"/>
        <w:numPr>
          <w:ilvl w:val="0"/>
          <w:numId w:val="3"/>
        </w:numPr>
        <w:spacing w:after="80"/>
      </w:pPr>
      <w:r>
        <w:rPr>
          <w:b/>
          <w:bCs/>
        </w:rPr>
        <w:t xml:space="preserve">Free scan as lead magnet: </w:t>
      </w:r>
      <w:r>
        <w:t xml:space="preserve">Offer a free, one-time payer directory audit for any practice. The audit runs across all 4 payer APIs and delivers a mismatch report. This demonstrates immediate value and creates conversion urgency.</w:t>
      </w:r>
    </w:p>
    <w:p>
      <w:pPr>
        <w:pStyle w:val="ListParagraph"/>
        <w:numPr>
          <w:ilvl w:val="0"/>
          <w:numId w:val="3"/>
        </w:numPr>
        <w:spacing w:after="80"/>
      </w:pPr>
      <w:r>
        <w:rPr>
          <w:b/>
          <w:bCs/>
        </w:rPr>
        <w:t xml:space="preserve">Content marketing around compliance deadlines: </w:t>
      </w:r>
      <w:r>
        <w:t xml:space="preserve">SB 1188 and HB 149 have specific compliance deadlines. Create urgency-driven content that positions KairoLogic as the automated compliance monitoring solution.</w:t>
      </w:r>
    </w:p>
    <w:p>
      <w:pPr>
        <w:pStyle w:val="ListParagraph"/>
        <w:numPr>
          <w:ilvl w:val="0"/>
          <w:numId w:val="3"/>
        </w:numPr>
        <w:spacing w:after="200"/>
      </w:pPr>
      <w:r>
        <w:rPr>
          <w:b/>
          <w:bCs/>
        </w:rPr>
        <w:t xml:space="preserve">Practice manager communities: </w:t>
      </w:r>
      <w:r>
        <w:t xml:space="preserve">Target MGMA chapters, TAFP, TMA practice management forums where the buyer persona (practice managers worried about payer compliance) congregates.</w:t>
      </w:r>
    </w:p>
    <w:p>
      <w:r>
        <w:br w:type="page"/>
      </w:r>
    </w:p>
    <w:p>
      <w:pPr>
        <w:pStyle w:val="Heading1"/>
      </w:pPr>
      <w:r>
        <w:t xml:space="preserve">6. Pre-Launch Build Priorities</w:t>
      </w:r>
    </w:p>
    <w:p>
      <w:pPr>
        <w:spacing w:after="120"/>
      </w:pPr>
      <w:r>
        <w:t xml:space="preserve">These items should be completed before GTM launch, ordered by impact on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800"/>
        <w:gridCol w:w="28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Tier-based usage limits (provider cap, scan frequency)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Without limits, no reason to upgrade from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days (middleware + DB flag)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BCBS TX credential activation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Fifth major payer; critical for TX market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1 day once credentials received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Unified practice health score rollup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Single number communicates value instantly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Remediation templates for common mismatches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Closes the detect-to-fix loop for practice managers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Stripe Free-to-Pro upgrade flow (end-to-end)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Revenue collection; must work flawlessly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days (Stripe integration exists)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Trial email sequence via Resend (migrate from 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Consistent email delivery; single 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day</w:t>
            </w:r>
          </w:p>
        </w:tc>
      </w:tr>
    </w:tbl>
    <w:p>
      <w:pPr>
        <w:spacing w:after="200"/>
      </w:pPr>
    </w:p>
    <w:p>
      <w:pPr>
        <w:pStyle w:val="Heading1"/>
      </w:pPr>
      <w:r>
        <w:t xml:space="preserve">7. Features to Defer Post-Launch</w:t>
      </w:r>
    </w:p>
    <w:p>
      <w:pPr>
        <w:spacing w:after="120"/>
      </w:pPr>
      <w:r>
        <w:t xml:space="preserve">These features should be built based on demand signals, not pre-launched. They are listed in the original pricing document but should not appear on the pricing page at GTM:</w:t>
      </w:r>
    </w:p>
    <w:p>
      <w:pPr>
        <w:pStyle w:val="ListParagraph"/>
        <w:numPr>
          <w:ilvl w:val="0"/>
          <w:numId w:val="2"/>
        </w:numPr>
        <w:spacing w:after="80"/>
      </w:pPr>
      <w:r>
        <w:rPr>
          <w:b/>
          <w:bCs/>
        </w:rPr>
        <w:t xml:space="preserve">CAQH bidirectional sync</w:t>
      </w:r>
      <w:r>
        <w:t xml:space="preserve"> (complex integration, wait for enterprise demand)</w:t>
      </w:r>
    </w:p>
    <w:p>
      <w:pPr>
        <w:pStyle w:val="ListParagraph"/>
        <w:numPr>
          <w:ilvl w:val="0"/>
          <w:numId w:val="2"/>
        </w:numPr>
        <w:spacing w:after="80"/>
      </w:pPr>
      <w:r>
        <w:rPr>
          <w:b/>
          <w:bCs/>
        </w:rPr>
        <w:t xml:space="preserve">Multi-location dashboard</w:t>
      </w:r>
      <w:r>
        <w:t xml:space="preserve"> (build when group practice customers request it)</w:t>
      </w:r>
    </w:p>
    <w:p>
      <w:pPr>
        <w:pStyle w:val="ListParagraph"/>
        <w:numPr>
          <w:ilvl w:val="0"/>
          <w:numId w:val="2"/>
        </w:numPr>
        <w:spacing w:after="80"/>
      </w:pPr>
      <w:r>
        <w:rPr>
          <w:b/>
          <w:bCs/>
        </w:rPr>
        <w:t xml:space="preserve">Custom compliance rule builder</w:t>
      </w:r>
      <w:r>
        <w:t xml:space="preserve"> (premature optimization; hardcoded rules work for TX launch)</w:t>
      </w:r>
    </w:p>
    <w:p>
      <w:pPr>
        <w:pStyle w:val="ListParagraph"/>
        <w:numPr>
          <w:ilvl w:val="0"/>
          <w:numId w:val="2"/>
        </w:numPr>
        <w:spacing w:after="80"/>
      </w:pPr>
      <w:r>
        <w:rPr>
          <w:b/>
          <w:bCs/>
        </w:rPr>
        <w:t xml:space="preserve">Public API access</w:t>
      </w:r>
      <w:r>
        <w:t xml:space="preserve"> (no current demand signal)</w:t>
      </w:r>
    </w:p>
    <w:p>
      <w:pPr>
        <w:pStyle w:val="ListParagraph"/>
        <w:numPr>
          <w:ilvl w:val="0"/>
          <w:numId w:val="2"/>
        </w:numPr>
        <w:spacing w:after="80"/>
      </w:pPr>
      <w:r>
        <w:rPr>
          <w:b/>
          <w:bCs/>
        </w:rPr>
        <w:t xml:space="preserve">White-label reporting</w:t>
      </w:r>
      <w:r>
        <w:t xml:space="preserve"> (enterprise feature; handle via direct sales when needed)</w:t>
      </w:r>
    </w:p>
    <w:p>
      <w:pPr>
        <w:pStyle w:val="ListParagraph"/>
        <w:numPr>
          <w:ilvl w:val="0"/>
          <w:numId w:val="2"/>
        </w:numPr>
        <w:spacing w:after="80"/>
      </w:pPr>
      <w:r>
        <w:rPr>
          <w:b/>
          <w:bCs/>
        </w:rPr>
        <w:t xml:space="preserve">Viral/referral mechanics</w:t>
      </w:r>
      <w:r>
        <w:t xml:space="preserve"> (focus on product quality and direct conversion first)</w:t>
      </w:r>
    </w:p>
    <w:p>
      <w:pPr>
        <w:pStyle w:val="ListParagraph"/>
        <w:numPr>
          <w:ilvl w:val="0"/>
          <w:numId w:val="2"/>
        </w:numPr>
        <w:spacing w:after="80"/>
      </w:pPr>
      <w:r>
        <w:rPr>
          <w:b/>
          <w:bCs/>
        </w:rPr>
        <w:t xml:space="preserve">Multi-state compliance expansion</w:t>
      </w:r>
      <w:r>
        <w:t xml:space="preserve"> (nail Texas first, expand state-by-state based on customer geography)</w:t>
      </w:r>
    </w:p>
    <w:p>
      <w:pPr>
        <w:pStyle w:val="ListParagraph"/>
        <w:numPr>
          <w:ilvl w:val="0"/>
          <w:numId w:val="2"/>
        </w:numPr>
        <w:spacing w:after="200"/>
      </w:pPr>
      <w:r>
        <w:rPr>
          <w:b/>
          <w:bCs/>
        </w:rPr>
        <w:t xml:space="preserve">EHR/PM integrations</w:t>
      </w:r>
      <w:r>
        <w:t xml:space="preserve"> (large build, low urgency for directory monitoring use case)</w:t>
      </w:r>
    </w:p>
    <w:p>
      <w:r>
        <w:br w:type="page"/>
      </w:r>
    </w:p>
    <w:p>
      <w:pPr>
        <w:pStyle w:val="Heading1"/>
      </w:pPr>
      <w:r>
        <w:t xml:space="preserve">8. Conclusion</w:t>
      </w:r>
    </w:p>
    <w:p>
      <w:pPr>
        <w:spacing w:after="120"/>
      </w:pPr>
      <w:r>
        <w:t xml:space="preserve">KairoLogic's core product is stronger than a typical pre-launch platform. Four production-grade payer API integrations, a sophisticated mismatch detection engine, Resend-powered email alerts, workflow automation, and a new confidence scoring system provide real, differentiated value that practice managers will pay for.</w:t>
      </w:r>
    </w:p>
    <w:p>
      <w:pPr>
        <w:spacing w:after="120"/>
      </w:pPr>
      <w:r>
        <w:t xml:space="preserve">The risk is not the product; it's the packaging. A four-tier pricing page with features that don't exist will undermine credibility with the exact buyers who need to trust you most. Practice managers are risk-averse, compliance-focused professionals who will test every claim during evaluation.</w:t>
      </w:r>
    </w:p>
    <w:p>
      <w:pPr>
        <w:spacing w:after="120"/>
      </w:pPr>
      <w:r>
        <w:rPr>
          <w:b/>
          <w:bCs/>
        </w:rPr>
        <w:t xml:space="preserve">Launch lean. Launch honest. Expand pricing as capabilities catch up.</w:t>
      </w:r>
    </w:p>
    <w:p>
      <w:pPr>
        <w:spacing w:after="120"/>
      </w:pPr>
      <w:r>
        <w:t xml:space="preserve">The two-tier strategy (Free + Pro at $29/provider/month) lets you go to market with a credible, verifiable value proposition: automated payer directory monitoring that catches mismatches before they cost money. Once you have paying customers and usage data, the Growth and Enterprise tiers will build themselves based on real demand signals rather than assumptions.</w:t>
      </w:r>
    </w:p>
    <w:p>
      <w:pPr>
        <w:spacing w:before="600"/>
      </w:pPr>
    </w:p>
    <w:p>
      <w:pPr>
        <w:pBdr>
          <w:top w:val="single" w:color="2E75B6" w:sz="4" w:space="1"/>
        </w:pBdr>
        <w:spacing w:after="100"/>
      </w:pPr>
    </w:p>
    <w:p>
      <w:pPr>
        <w:spacing w:after="120"/>
      </w:pPr>
      <w:r>
        <w:rPr>
          <w:i/>
          <w:iCs/>
          <w:color w:val="666666"/>
          <w:sz w:val="20"/>
          <w:szCs w:val="20"/>
        </w:rPr>
        <w:t xml:space="preserve">Prepared for KairoLogic leadership team</w:t>
      </w:r>
    </w:p>
    <w:p>
      <w:pPr>
        <w:spacing w:after="120"/>
      </w:pPr>
      <w:r>
        <w:rPr>
          <w:i/>
          <w:iCs/>
          <w:color w:val="666666"/>
          <w:sz w:val="20"/>
          <w:szCs w:val="20"/>
        </w:rPr>
        <w:t xml:space="preserve">Red Team Analysis | April 3,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KairoLogic Red Team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2026-04-03T13:46:14.179Z</dcterms:created>
  <dcterms:modified xsi:type="dcterms:W3CDTF">2026-04-03T13:46:14.179Z</dcterms:modified>
</cp:coreProperties>
</file>

<file path=docProps/custom.xml><?xml version="1.0" encoding="utf-8"?>
<Properties xmlns="http://schemas.openxmlformats.org/officeDocument/2006/custom-properties" xmlns:vt="http://schemas.openxmlformats.org/officeDocument/2006/docPropsVTypes"/>
</file>