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1E2E"/>
          <w:sz w:val="56"/>
          <w:szCs w:val="56"/>
        </w:rPr>
        <w:t xml:space="preserve">KairoLogic Website</w:t>
      </w:r>
    </w:p>
    <w:p>
      <w:pPr>
        <w:spacing w:after="120"/>
        <w:jc w:val="center"/>
      </w:pPr>
      <w:r>
        <w:rPr>
          <w:rFonts w:ascii="Arial" w:cs="Arial" w:eastAsia="Arial" w:hAnsi="Arial"/>
          <w:color w:val="D4A017"/>
          <w:sz w:val="32"/>
          <w:szCs w:val="32"/>
        </w:rPr>
        <w:t xml:space="preserve">Project Context Document</w:t>
      </w:r>
    </w:p>
    <w:p>
      <w:pPr>
        <w:spacing w:after="600"/>
        <w:jc w:val="center"/>
      </w:pPr>
      <w:r>
        <w:rPr>
          <w:rFonts w:ascii="Arial" w:cs="Arial" w:eastAsia="Arial" w:hAnsi="Arial"/>
          <w:color w:val="666666"/>
          <w:sz w:val="24"/>
          <w:szCs w:val="24"/>
        </w:rPr>
        <w:t xml:space="preserve">kairologic.net</w:t>
      </w:r>
    </w:p>
    <w:p>
      <w:pPr>
        <w:spacing w:after="100"/>
        <w:jc w:val="center"/>
      </w:pPr>
      <w:r>
        <w:rPr>
          <w:rFonts w:ascii="Arial" w:cs="Arial" w:eastAsia="Arial" w:hAnsi="Arial"/>
          <w:color w:val="666666"/>
          <w:sz w:val="22"/>
          <w:szCs w:val="22"/>
        </w:rPr>
        <w:t xml:space="preserve">Last Updated: March 23, 2026</w:t>
      </w:r>
    </w:p>
    <w:p>
      <w:pPr>
        <w:spacing w:after="100"/>
        <w:jc w:val="center"/>
      </w:pPr>
      <w:r>
        <w:rPr>
          <w:rFonts w:ascii="Arial" w:cs="Arial" w:eastAsia="Arial" w:hAnsi="Arial"/>
          <w:color w:val="666666"/>
          <w:sz w:val="22"/>
          <w:szCs w:val="22"/>
        </w:rPr>
        <w:t xml:space="preserve">Repository: github.com/kairologic/Claude-project</w:t>
      </w:r>
    </w:p>
    <w:p>
      <w:pPr>
        <w:spacing w:after="100"/>
        <w:jc w:val="center"/>
      </w:pPr>
      <w:r>
        <w:rPr>
          <w:rFonts w:ascii="Arial" w:cs="Arial" w:eastAsia="Arial" w:hAnsi="Arial"/>
          <w:color w:val="666666"/>
          <w:sz w:val="22"/>
          <w:szCs w:val="22"/>
        </w:rPr>
        <w:t xml:space="preserve">Hosted: Vercel (auto-deploy from GitHub main branch)</w:t>
      </w:r>
    </w:p>
    <w:p>
      <w:pPr>
        <w:pBdr>
          <w:top w:val="single" w:color="D4A017" w:sz="6" w:space="12"/>
        </w:pBdr>
        <w:spacing w:before="600"/>
        <w:jc w:val="center"/>
      </w:pPr>
      <w:r>
        <w:rPr>
          <w:rFonts w:ascii="Arial" w:cs="Arial" w:eastAsia="Arial" w:hAnsi="Arial"/>
          <w:color w:val="999999"/>
          <w:sz w:val="20"/>
          <w:szCs w:val="20"/>
        </w:rPr>
        <w:t xml:space="preserve">This document captures the full state of the KairoLogic website for continuity across sessions.</w:t>
      </w:r>
    </w:p>
    <w:p>
      <w:pPr>
        <w:sectPr>
          <w:pgSz w:w="12240" w:h="15840" w:orient="portrait"/>
          <w:pgMar w:top="1440" w:right="1440" w:bottom="1440" w:left="1440" w:header="708" w:footer="708" w:gutter="0"/>
          <w:pgNumType/>
          <w:docGrid w:linePitch="360"/>
        </w:sectPr>
      </w:pPr>
    </w:p>
    <w:p>
      <w:pPr>
        <w:pStyle w:val="Heading1"/>
      </w:pPr>
      <w:r>
        <w:t xml:space="preserve">1. Architecture Overview</w:t>
      </w:r>
    </w:p>
    <w:p>
      <w:pPr>
        <w:spacing w:after="120"/>
      </w:pPr>
      <w:r>
        <w:rPr>
          <w:rFonts w:ascii="Arial" w:cs="Arial" w:eastAsia="Arial" w:hAnsi="Arial"/>
          <w:sz w:val="22"/>
          <w:szCs w:val="22"/>
        </w:rPr>
        <w:t xml:space="preserve">KairoLogic is a Next.js 14 application using the App Router with two route groups that separate the marketing website from the application dashboard.</w:t>
      </w:r>
    </w:p>
    <w:p>
      <w:pPr>
        <w:pStyle w:val="Heading2"/>
      </w:pPr>
      <w:r>
        <w:t xml:space="preserve">Tech Stack</w:t>
      </w:r>
    </w:p>
    <w:p>
      <w:pPr>
        <w:pStyle w:val="ListParagraph"/>
        <w:numPr>
          <w:ilvl w:val="0"/>
          <w:numId w:val="2"/>
        </w:numPr>
        <w:spacing w:after="60"/>
      </w:pPr>
      <w:r>
        <w:rPr>
          <w:rFonts w:ascii="Arial" w:cs="Arial" w:eastAsia="Arial" w:hAnsi="Arial"/>
          <w:sz w:val="22"/>
          <w:szCs w:val="22"/>
        </w:rPr>
        <w:t xml:space="preserve">Next.js 14 App Router with route groups: (marketing) and (site)</w:t>
      </w:r>
    </w:p>
    <w:p>
      <w:pPr>
        <w:pStyle w:val="ListParagraph"/>
        <w:numPr>
          <w:ilvl w:val="0"/>
          <w:numId w:val="2"/>
        </w:numPr>
        <w:spacing w:after="60"/>
      </w:pPr>
      <w:r>
        <w:rPr>
          <w:rFonts w:ascii="Arial" w:cs="Arial" w:eastAsia="Arial" w:hAnsi="Arial"/>
          <w:sz w:val="22"/>
          <w:szCs w:val="22"/>
        </w:rPr>
        <w:t xml:space="preserve">Supabase for database and authentication</w:t>
      </w:r>
    </w:p>
    <w:p>
      <w:pPr>
        <w:pStyle w:val="ListParagraph"/>
        <w:numPr>
          <w:ilvl w:val="0"/>
          <w:numId w:val="2"/>
        </w:numPr>
        <w:spacing w:after="60"/>
      </w:pPr>
      <w:r>
        <w:rPr>
          <w:rFonts w:ascii="Arial" w:cs="Arial" w:eastAsia="Arial" w:hAnsi="Arial"/>
          <w:sz w:val="22"/>
          <w:szCs w:val="22"/>
        </w:rPr>
        <w:t xml:space="preserve">Vercel for hosting with auto-deploy from GitHub main branch</w:t>
      </w:r>
    </w:p>
    <w:p>
      <w:pPr>
        <w:pStyle w:val="ListParagraph"/>
        <w:numPr>
          <w:ilvl w:val="0"/>
          <w:numId w:val="2"/>
        </w:numPr>
        <w:spacing w:after="60"/>
      </w:pPr>
      <w:r>
        <w:rPr>
          <w:rFonts w:ascii="Arial" w:cs="Arial" w:eastAsia="Arial" w:hAnsi="Arial"/>
          <w:sz w:val="22"/>
          <w:szCs w:val="22"/>
        </w:rPr>
        <w:t xml:space="preserve">Tailwind CSS for the (site) route group</w:t>
      </w:r>
    </w:p>
    <w:p>
      <w:pPr>
        <w:pStyle w:val="ListParagraph"/>
        <w:numPr>
          <w:ilvl w:val="0"/>
          <w:numId w:val="2"/>
        </w:numPr>
        <w:spacing w:after="60"/>
      </w:pPr>
      <w:r>
        <w:rPr>
          <w:rFonts w:ascii="Arial" w:cs="Arial" w:eastAsia="Arial" w:hAnsi="Arial"/>
          <w:sz w:val="22"/>
          <w:szCs w:val="22"/>
        </w:rPr>
        <w:t xml:space="preserve">Custom CSS with m- namespaced classes for (marketing) route group</w:t>
      </w:r>
    </w:p>
    <w:p>
      <w:pPr>
        <w:pStyle w:val="ListParagraph"/>
        <w:numPr>
          <w:ilvl w:val="0"/>
          <w:numId w:val="2"/>
        </w:numPr>
        <w:spacing w:after="60"/>
      </w:pPr>
      <w:r>
        <w:rPr>
          <w:rFonts w:ascii="Arial" w:cs="Arial" w:eastAsia="Arial" w:hAnsi="Arial"/>
          <w:sz w:val="22"/>
          <w:szCs w:val="22"/>
        </w:rPr>
        <w:t xml:space="preserve">Browserless for automated web scraping</w:t>
      </w:r>
    </w:p>
    <w:p>
      <w:pPr>
        <w:pStyle w:val="ListParagraph"/>
        <w:numPr>
          <w:ilvl w:val="0"/>
          <w:numId w:val="2"/>
        </w:numPr>
        <w:spacing w:after="60"/>
      </w:pPr>
      <w:r>
        <w:rPr>
          <w:rFonts w:ascii="Arial" w:cs="Arial" w:eastAsia="Arial" w:hAnsi="Arial"/>
          <w:sz w:val="22"/>
          <w:szCs w:val="22"/>
        </w:rPr>
        <w:t xml:space="preserve">Stripe for payment processing</w:t>
      </w:r>
    </w:p>
    <w:p>
      <w:pPr>
        <w:pStyle w:val="ListParagraph"/>
        <w:numPr>
          <w:ilvl w:val="0"/>
          <w:numId w:val="2"/>
        </w:numPr>
        <w:spacing w:after="60"/>
      </w:pPr>
      <w:r>
        <w:rPr>
          <w:rFonts w:ascii="Arial" w:cs="Arial" w:eastAsia="Arial" w:hAnsi="Arial"/>
          <w:sz w:val="22"/>
          <w:szCs w:val="22"/>
        </w:rPr>
        <w:t xml:space="preserve">Resend for transactional email</w:t>
      </w:r>
    </w:p>
    <w:p>
      <w:pPr>
        <w:pStyle w:val="Heading2"/>
      </w:pPr>
      <w:r>
        <w:t xml:space="preserve">Design System (Marketing)</w:t>
      </w:r>
    </w:p>
    <w:p>
      <w:pPr>
        <w:pStyle w:val="ListParagraph"/>
        <w:numPr>
          <w:ilvl w:val="0"/>
          <w:numId w:val="2"/>
        </w:numPr>
        <w:spacing w:after="60"/>
      </w:pPr>
      <w:r>
        <w:rPr>
          <w:rFonts w:ascii="Arial" w:cs="Arial" w:eastAsia="Arial" w:hAnsi="Arial"/>
          <w:sz w:val="22"/>
          <w:szCs w:val="22"/>
        </w:rPr>
        <w:t xml:space="preserve">Fonts: Instrument Serif (display headings) + Plus Jakarta Sans (body text) via Google Fonts</w:t>
      </w:r>
    </w:p>
    <w:p>
      <w:pPr>
        <w:pStyle w:val="ListParagraph"/>
        <w:numPr>
          <w:ilvl w:val="0"/>
          <w:numId w:val="2"/>
        </w:numPr>
        <w:spacing w:after="60"/>
      </w:pPr>
      <w:r>
        <w:rPr>
          <w:rFonts w:ascii="Arial" w:cs="Arial" w:eastAsia="Arial" w:hAnsi="Arial"/>
          <w:sz w:val="22"/>
          <w:szCs w:val="22"/>
        </w:rPr>
        <w:t xml:space="preserve">Navy: #0F1E2E (primary dark), Gold: #D4A017 (accent/CTA), Green: #1A9E6D (success/live)</w:t>
      </w:r>
    </w:p>
    <w:p>
      <w:pPr>
        <w:pStyle w:val="ListParagraph"/>
        <w:numPr>
          <w:ilvl w:val="0"/>
          <w:numId w:val="2"/>
        </w:numPr>
        <w:spacing w:after="60"/>
      </w:pPr>
      <w:r>
        <w:rPr>
          <w:rFonts w:ascii="Arial" w:cs="Arial" w:eastAsia="Arial" w:hAnsi="Arial"/>
          <w:sz w:val="22"/>
          <w:szCs w:val="22"/>
        </w:rPr>
        <w:t xml:space="preserve">CSS namespace: all marketing classes prefixed with m- to avoid Tailwind conflicts</w:t>
      </w:r>
    </w:p>
    <w:p>
      <w:pPr>
        <w:pStyle w:val="ListParagraph"/>
        <w:numPr>
          <w:ilvl w:val="0"/>
          <w:numId w:val="2"/>
        </w:numPr>
        <w:spacing w:after="60"/>
      </w:pPr>
      <w:r>
        <w:rPr>
          <w:rFonts w:ascii="Arial" w:cs="Arial" w:eastAsia="Arial" w:hAnsi="Arial"/>
          <w:sz w:val="22"/>
          <w:szCs w:val="22"/>
        </w:rPr>
        <w:t xml:space="preserve">Responsive breakpoints for mobile (hero hides dashboard preview, single-col grids)</w:t>
      </w:r>
    </w:p>
    <w:p>
      <w:pPr>
        <w:pStyle w:val="Heading2"/>
      </w:pPr>
      <w:r>
        <w:t xml:space="preserve">Route Group Structure</w:t>
      </w:r>
    </w:p>
    <w:p>
      <w:pPr>
        <w:spacing w:after="120"/>
      </w:pPr>
      <w:r>
        <w:rPr>
          <w:rFonts w:ascii="Arial" w:cs="Arial" w:eastAsia="Arial" w:hAnsi="Arial"/>
          <w:sz w:val="22"/>
          <w:szCs w:val="22"/>
        </w:rPr>
        <w:t xml:space="preserve">(marketing) route group: Public-facing marketing website with its own layout (announcement bar, sticky nav, footer). Serves the homepage, platform page, solutions page, resources page, contact/trial signup page, and compliance page.</w:t>
      </w:r>
    </w:p>
    <w:p>
      <w:pPr>
        <w:spacing w:after="120"/>
      </w:pPr>
      <w:r>
        <w:rPr>
          <w:rFonts w:ascii="Arial" w:cs="Arial" w:eastAsia="Arial" w:hAnsi="Arial"/>
          <w:sz w:val="22"/>
          <w:szCs w:val="22"/>
        </w:rPr>
        <w:t xml:space="preserve">(site) route group: Application dashboard, login, admin tools, scan tools, registry, payer directory views. Uses the old Header/Footer components from components/layout/.</w:t>
      </w:r>
    </w:p>
    <w:p>
      <w:pPr>
        <w:pStyle w:val="Heading2"/>
      </w:pPr>
      <w:r>
        <w:t xml:space="preserve">Git Push Workflow</w:t>
      </w:r>
    </w:p>
    <w:p>
      <w:pPr>
        <w:spacing w:after="120"/>
      </w:pPr>
      <w:r>
        <w:rPr>
          <w:rFonts w:ascii="Arial" w:cs="Arial" w:eastAsia="Arial" w:hAnsi="Arial"/>
          <w:sz w:val="22"/>
          <w:szCs w:val="22"/>
        </w:rPr>
        <w:t xml:space="preserve">Due to index.lock permission issues in the mounted workspace, pushes use a workaround: clone to /tmp/kl-push using the token from .git/config, copy changed files, commit, and push. Vercel auto-deploys from GitHub on each push to main.</w:t>
      </w:r>
    </w:p>
    <w:p>
      <w:r>
        <w:br w:type="page"/>
      </w:r>
    </w:p>
    <w:p>
      <w:pPr>
        <w:pStyle w:val="Heading1"/>
      </w:pPr>
      <w:r>
        <w:t xml:space="preserve">2. Marketing Pages (Current State)</w:t>
      </w:r>
    </w:p>
    <w:p>
      <w:pPr>
        <w:pStyle w:val="Heading2"/>
      </w:pPr>
      <w:r>
        <w:t xml:space="preserve">Navigation</w:t>
      </w:r>
    </w:p>
    <w:p>
      <w:pPr>
        <w:spacing w:after="120"/>
      </w:pPr>
      <w:r>
        <w:rPr>
          <w:rFonts w:ascii="Arial" w:cs="Arial" w:eastAsia="Arial" w:hAnsi="Arial"/>
          <w:sz w:val="22"/>
          <w:szCs w:val="22"/>
        </w:rPr>
        <w:t xml:space="preserve">Top announcement bar: “Now live in Texas &amp; California — 1.8M+ provider records indexed.” Links to /compliance.</w:t>
      </w:r>
    </w:p>
    <w:p>
      <w:pPr>
        <w:spacing w:after="120"/>
      </w:pPr>
      <w:r>
        <w:rPr>
          <w:rFonts w:ascii="Arial" w:cs="Arial" w:eastAsia="Arial" w:hAnsi="Arial"/>
          <w:sz w:val="22"/>
          <w:szCs w:val="22"/>
        </w:rPr>
        <w:t xml:space="preserve">Nav links: Platform | Solutions | Pricing | Resources</w:t>
      </w:r>
    </w:p>
    <w:p>
      <w:pPr>
        <w:spacing w:after="120"/>
      </w:pPr>
      <w:r>
        <w:rPr>
          <w:rFonts w:ascii="Arial" w:cs="Arial" w:eastAsia="Arial" w:hAnsi="Arial"/>
          <w:sz w:val="22"/>
          <w:szCs w:val="22"/>
        </w:rPr>
        <w:t xml:space="preserve">Nav actions: “Sign In” (links to /dashboard/login) and “Get Free Trial →” (links to /contact, gold button)</w:t>
      </w:r>
    </w:p>
    <w:p>
      <w:pPr>
        <w:pStyle w:val="Heading2"/>
      </w:pPr>
      <w:r>
        <w:t xml:space="preserve">Homepage ( / )</w:t>
      </w:r>
    </w:p>
    <w:p>
      <w:pPr>
        <w:spacing w:after="120"/>
      </w:pPr>
      <w:r>
        <w:rPr>
          <w:rFonts w:ascii="Arial" w:cs="Arial" w:eastAsia="Arial" w:hAnsi="Arial"/>
          <w:sz w:val="22"/>
          <w:szCs w:val="22"/>
        </w:rPr>
        <w:t xml:space="preserve">Centered hero with tagline “Know your providers. Before problems arise.” and full-width dashboard mockup below. Dashboard shows a fictional Austin Regional Medical Group with 24 providers, KPI cards, priority providers list, compliance panel with payer logos, and an active credentialing workflow card.</w:t>
      </w:r>
    </w:p>
    <w:p>
      <w:pPr>
        <w:pStyle w:val="ListParagraph"/>
        <w:numPr>
          <w:ilvl w:val="0"/>
          <w:numId w:val="2"/>
        </w:numPr>
        <w:spacing w:after="60"/>
      </w:pPr>
      <w:r>
        <w:rPr>
          <w:rFonts w:ascii="Arial" w:cs="Arial" w:eastAsia="Arial" w:hAnsi="Arial"/>
          <w:sz w:val="22"/>
          <w:szCs w:val="22"/>
        </w:rPr>
        <w:t xml:space="preserve">Trust strip: HIPAA-Aligned badge, SOC 2 Type II (in progress), 1.8M+ records, TX &amp; CA live, &lt;30s scan</w:t>
      </w:r>
    </w:p>
    <w:p>
      <w:pPr>
        <w:pStyle w:val="ListParagraph"/>
        <w:numPr>
          <w:ilvl w:val="0"/>
          <w:numId w:val="2"/>
        </w:numPr>
        <w:spacing w:after="60"/>
      </w:pPr>
      <w:r>
        <w:rPr>
          <w:rFonts w:ascii="Arial" w:cs="Arial" w:eastAsia="Arial" w:hAnsi="Arial"/>
          <w:sz w:val="22"/>
          <w:szCs w:val="22"/>
        </w:rPr>
        <w:t xml:space="preserve">Three scenario cards: Address Drift, Compliance Gaps, Credentialing Pipeline</w:t>
      </w:r>
    </w:p>
    <w:p>
      <w:pPr>
        <w:pStyle w:val="ListParagraph"/>
        <w:numPr>
          <w:ilvl w:val="0"/>
          <w:numId w:val="2"/>
        </w:numPr>
        <w:spacing w:after="60"/>
      </w:pPr>
      <w:r>
        <w:rPr>
          <w:rFonts w:ascii="Arial" w:cs="Arial" w:eastAsia="Arial" w:hAnsi="Arial"/>
          <w:sz w:val="22"/>
          <w:szCs w:val="22"/>
        </w:rPr>
        <w:t xml:space="preserve">Credentialing pipeline visualization: 5 stages (Assess → CAQH → NPPES → Payers → Monitor) with ownership labels</w:t>
      </w:r>
    </w:p>
    <w:p>
      <w:pPr>
        <w:pStyle w:val="ListParagraph"/>
        <w:numPr>
          <w:ilvl w:val="0"/>
          <w:numId w:val="2"/>
        </w:numPr>
        <w:spacing w:after="60"/>
      </w:pPr>
      <w:r>
        <w:rPr>
          <w:rFonts w:ascii="Arial" w:cs="Arial" w:eastAsia="Arial" w:hAnsi="Arial"/>
          <w:sz w:val="22"/>
          <w:szCs w:val="22"/>
        </w:rPr>
        <w:t xml:space="preserve">State coverage section with map + stats for TX and CA, coming soon: FL, NY, IL</w:t>
      </w:r>
    </w:p>
    <w:p>
      <w:pPr>
        <w:pStyle w:val="ListParagraph"/>
        <w:numPr>
          <w:ilvl w:val="0"/>
          <w:numId w:val="2"/>
        </w:numPr>
        <w:spacing w:after="60"/>
      </w:pPr>
      <w:r>
        <w:rPr>
          <w:rFonts w:ascii="Arial" w:cs="Arial" w:eastAsia="Arial" w:hAnsi="Arial"/>
          <w:sz w:val="22"/>
          <w:szCs w:val="22"/>
        </w:rPr>
        <w:t xml:space="preserve">Founders Rate callout: $99/mo flat, 7 of 20 spots filled, locked for 12 months</w:t>
      </w:r>
    </w:p>
    <w:p>
      <w:pPr>
        <w:pStyle w:val="ListParagraph"/>
        <w:numPr>
          <w:ilvl w:val="0"/>
          <w:numId w:val="2"/>
        </w:numPr>
        <w:spacing w:after="60"/>
      </w:pPr>
      <w:r>
        <w:rPr>
          <w:rFonts w:ascii="Arial" w:cs="Arial" w:eastAsia="Arial" w:hAnsi="Arial"/>
          <w:sz w:val="22"/>
          <w:szCs w:val="22"/>
        </w:rPr>
        <w:t xml:space="preserve">Three testimonials from fictional healthcare professionals</w:t>
      </w:r>
    </w:p>
    <w:p>
      <w:pPr>
        <w:pStyle w:val="ListParagraph"/>
        <w:numPr>
          <w:ilvl w:val="0"/>
          <w:numId w:val="2"/>
        </w:numPr>
        <w:spacing w:after="60"/>
      </w:pPr>
      <w:r>
        <w:rPr>
          <w:rFonts w:ascii="Arial" w:cs="Arial" w:eastAsia="Arial" w:hAnsi="Arial"/>
          <w:sz w:val="22"/>
          <w:szCs w:val="22"/>
        </w:rPr>
        <w:t xml:space="preserve">CTA band: “Get Started” + “Watch a Demo”</w:t>
      </w:r>
    </w:p>
    <w:p>
      <w:pPr>
        <w:pStyle w:val="ListParagraph"/>
        <w:numPr>
          <w:ilvl w:val="0"/>
          <w:numId w:val="2"/>
        </w:numPr>
        <w:spacing w:after="60"/>
      </w:pPr>
      <w:r>
        <w:rPr>
          <w:rFonts w:ascii="Arial" w:cs="Arial" w:eastAsia="Arial" w:hAnsi="Arial"/>
          <w:sz w:val="22"/>
          <w:szCs w:val="22"/>
        </w:rPr>
        <w:t xml:space="preserve">Hero note: “14-day free trial · No credit card required · HIPAA-aligned infrastructure”</w:t>
      </w:r>
    </w:p>
    <w:p>
      <w:pPr>
        <w:pStyle w:val="Heading2"/>
      </w:pPr>
      <w:r>
        <w:t xml:space="preserve">Platform Page ( /platform )</w:t>
      </w:r>
    </w:p>
    <w:p>
      <w:pPr>
        <w:spacing w:after="120"/>
      </w:pPr>
      <w:r>
        <w:rPr>
          <w:rFonts w:ascii="Arial" w:cs="Arial" w:eastAsia="Arial" w:hAnsi="Arial"/>
          <w:sz w:val="22"/>
          <w:szCs w:val="22"/>
        </w:rPr>
        <w:t xml:space="preserve">Dashboard walkthrough page with 4 feature sections, each with alternating text + mock UI panel layout:</w:t>
      </w:r>
    </w:p>
    <w:p>
      <w:pPr>
        <w:pStyle w:val="ListParagraph"/>
        <w:numPr>
          <w:ilvl w:val="0"/>
          <w:numId w:val="2"/>
        </w:numPr>
        <w:spacing w:after="60"/>
      </w:pPr>
      <w:r>
        <w:rPr>
          <w:rFonts w:ascii="Arial" w:cs="Arial" w:eastAsia="Arial" w:hAnsi="Arial"/>
          <w:sz w:val="22"/>
          <w:szCs w:val="22"/>
        </w:rPr>
        <w:t xml:space="preserve">Provider Monitoring: KPI row, provider list with status dots</w:t>
      </w:r>
    </w:p>
    <w:p>
      <w:pPr>
        <w:pStyle w:val="ListParagraph"/>
        <w:numPr>
          <w:ilvl w:val="0"/>
          <w:numId w:val="2"/>
        </w:numPr>
        <w:spacing w:after="60"/>
      </w:pPr>
      <w:r>
        <w:rPr>
          <w:rFonts w:ascii="Arial" w:cs="Arial" w:eastAsia="Arial" w:hAnsi="Arial"/>
          <w:sz w:val="22"/>
          <w:szCs w:val="22"/>
        </w:rPr>
        <w:t xml:space="preserve">Compliance Tracking: state regulation tags, compliance score bar</w:t>
      </w:r>
    </w:p>
    <w:p>
      <w:pPr>
        <w:pStyle w:val="ListParagraph"/>
        <w:numPr>
          <w:ilvl w:val="0"/>
          <w:numId w:val="2"/>
        </w:numPr>
        <w:spacing w:after="60"/>
      </w:pPr>
      <w:r>
        <w:rPr>
          <w:rFonts w:ascii="Arial" w:cs="Arial" w:eastAsia="Arial" w:hAnsi="Arial"/>
          <w:sz w:val="22"/>
          <w:szCs w:val="22"/>
        </w:rPr>
        <w:t xml:space="preserve">Credentialing Workflows: 5-stage pipeline steps, task list</w:t>
      </w:r>
    </w:p>
    <w:p>
      <w:pPr>
        <w:pStyle w:val="ListParagraph"/>
        <w:numPr>
          <w:ilvl w:val="0"/>
          <w:numId w:val="2"/>
        </w:numPr>
        <w:spacing w:after="60"/>
      </w:pPr>
      <w:r>
        <w:rPr>
          <w:rFonts w:ascii="Arial" w:cs="Arial" w:eastAsia="Arial" w:hAnsi="Arial"/>
          <w:sz w:val="22"/>
          <w:szCs w:val="22"/>
        </w:rPr>
        <w:t xml:space="preserve">Payer Directory Monitoring: payer grid (match/mismatch/not listed), field-level mismatch detail</w:t>
      </w:r>
    </w:p>
    <w:p>
      <w:pPr>
        <w:spacing w:after="120"/>
      </w:pPr>
      <w:r>
        <w:rPr>
          <w:rFonts w:ascii="Arial" w:cs="Arial" w:eastAsia="Arial" w:hAnsi="Arial"/>
          <w:sz w:val="22"/>
          <w:szCs w:val="22"/>
        </w:rPr>
        <w:t xml:space="preserve">Emphasizes what you see and do in the dashboard, without revealing how data is joined (the secret sauce).</w:t>
      </w:r>
    </w:p>
    <w:p>
      <w:pPr>
        <w:pStyle w:val="Heading2"/>
      </w:pPr>
      <w:r>
        <w:t xml:space="preserve">Solutions Page ( /solutions )</w:t>
      </w:r>
    </w:p>
    <w:p>
      <w:pPr>
        <w:spacing w:after="120"/>
      </w:pPr>
      <w:r>
        <w:rPr>
          <w:rFonts w:ascii="Arial" w:cs="Arial" w:eastAsia="Arial" w:hAnsi="Arial"/>
          <w:sz w:val="22"/>
          <w:szCs w:val="22"/>
        </w:rPr>
        <w:t xml:space="preserve">Three audience segments, each with eyebrow label, headline, description, 3 benefits with icons, “Ideal for” box, and CTA:</w:t>
      </w:r>
    </w:p>
    <w:p>
      <w:pPr>
        <w:pStyle w:val="ListParagraph"/>
        <w:numPr>
          <w:ilvl w:val="0"/>
          <w:numId w:val="2"/>
        </w:numPr>
        <w:spacing w:after="60"/>
      </w:pPr>
      <w:r>
        <w:rPr>
          <w:rFonts w:ascii="Arial" w:cs="Arial" w:eastAsia="Arial" w:hAnsi="Arial"/>
          <w:sz w:val="22"/>
          <w:szCs w:val="22"/>
        </w:rPr>
        <w:t xml:space="preserve">Medical Groups &amp; Practices (1–40 providers): “Stop credentialing fires before they start”</w:t>
      </w:r>
    </w:p>
    <w:p>
      <w:pPr>
        <w:pStyle w:val="ListParagraph"/>
        <w:numPr>
          <w:ilvl w:val="0"/>
          <w:numId w:val="2"/>
        </w:numPr>
        <w:spacing w:after="60"/>
      </w:pPr>
      <w:r>
        <w:rPr>
          <w:rFonts w:ascii="Arial" w:cs="Arial" w:eastAsia="Arial" w:hAnsi="Arial"/>
          <w:sz w:val="22"/>
          <w:szCs w:val="22"/>
        </w:rPr>
        <w:t xml:space="preserve">CVOs &amp; Credentialing Organizations: “Verify faster, monitor continuously”</w:t>
      </w:r>
    </w:p>
    <w:p>
      <w:pPr>
        <w:pStyle w:val="ListParagraph"/>
        <w:numPr>
          <w:ilvl w:val="0"/>
          <w:numId w:val="2"/>
        </w:numPr>
        <w:spacing w:after="60"/>
      </w:pPr>
      <w:r>
        <w:rPr>
          <w:rFonts w:ascii="Arial" w:cs="Arial" w:eastAsia="Arial" w:hAnsi="Arial"/>
          <w:sz w:val="22"/>
          <w:szCs w:val="22"/>
        </w:rPr>
        <w:t xml:space="preserve">Health Systems &amp; Networks (40+ providers, API access): “Multi-state, multi-site provider intelligence”</w:t>
      </w:r>
    </w:p>
    <w:p>
      <w:pPr>
        <w:pStyle w:val="Heading2"/>
      </w:pPr>
      <w:r>
        <w:t xml:space="preserve">Resources Page ( /resources )</w:t>
      </w:r>
    </w:p>
    <w:p>
      <w:pPr>
        <w:spacing w:after="120"/>
      </w:pPr>
      <w:r>
        <w:rPr>
          <w:rFonts w:ascii="Arial" w:cs="Arial" w:eastAsia="Arial" w:hAnsi="Arial"/>
          <w:sz w:val="22"/>
          <w:szCs w:val="22"/>
        </w:rPr>
        <w:t xml:space="preserve">Hub page with 6-card grid:</w:t>
      </w:r>
    </w:p>
    <w:p>
      <w:pPr>
        <w:pStyle w:val="ListParagraph"/>
        <w:numPr>
          <w:ilvl w:val="0"/>
          <w:numId w:val="2"/>
        </w:numPr>
        <w:spacing w:after="60"/>
      </w:pPr>
      <w:r>
        <w:rPr>
          <w:rFonts w:ascii="Arial" w:cs="Arial" w:eastAsia="Arial" w:hAnsi="Arial"/>
          <w:sz w:val="22"/>
          <w:szCs w:val="22"/>
        </w:rPr>
        <w:t xml:space="preserve">State Compliance Guide (featured, spans 2 columns) → /compliance</w:t>
      </w:r>
    </w:p>
    <w:p>
      <w:pPr>
        <w:pStyle w:val="ListParagraph"/>
        <w:numPr>
          <w:ilvl w:val="0"/>
          <w:numId w:val="2"/>
        </w:numPr>
        <w:spacing w:after="60"/>
      </w:pPr>
      <w:r>
        <w:rPr>
          <w:rFonts w:ascii="Arial" w:cs="Arial" w:eastAsia="Arial" w:hAnsi="Arial"/>
          <w:sz w:val="22"/>
          <w:szCs w:val="22"/>
        </w:rPr>
        <w:t xml:space="preserve">Pricing → /pricing</w:t>
      </w:r>
    </w:p>
    <w:p>
      <w:pPr>
        <w:pStyle w:val="ListParagraph"/>
        <w:numPr>
          <w:ilvl w:val="0"/>
          <w:numId w:val="2"/>
        </w:numPr>
        <w:spacing w:after="60"/>
      </w:pPr>
      <w:r>
        <w:rPr>
          <w:rFonts w:ascii="Arial" w:cs="Arial" w:eastAsia="Arial" w:hAnsi="Arial"/>
          <w:sz w:val="22"/>
          <w:szCs w:val="22"/>
        </w:rPr>
        <w:t xml:space="preserve">Insights &amp; Blog (coming soon, disabled)</w:t>
      </w:r>
    </w:p>
    <w:p>
      <w:pPr>
        <w:pStyle w:val="ListParagraph"/>
        <w:numPr>
          <w:ilvl w:val="0"/>
          <w:numId w:val="2"/>
        </w:numPr>
        <w:spacing w:after="60"/>
      </w:pPr>
      <w:r>
        <w:rPr>
          <w:rFonts w:ascii="Arial" w:cs="Arial" w:eastAsia="Arial" w:hAnsi="Arial"/>
          <w:sz w:val="22"/>
          <w:szCs w:val="22"/>
        </w:rPr>
        <w:t xml:space="preserve">API Documentation (coming soon, disabled)</w:t>
      </w:r>
    </w:p>
    <w:p>
      <w:pPr>
        <w:pStyle w:val="ListParagraph"/>
        <w:numPr>
          <w:ilvl w:val="0"/>
          <w:numId w:val="2"/>
        </w:numPr>
        <w:spacing w:after="60"/>
      </w:pPr>
      <w:r>
        <w:rPr>
          <w:rFonts w:ascii="Arial" w:cs="Arial" w:eastAsia="Arial" w:hAnsi="Arial"/>
          <w:sz w:val="22"/>
          <w:szCs w:val="22"/>
        </w:rPr>
        <w:t xml:space="preserve">Contact Us → /contact</w:t>
      </w:r>
    </w:p>
    <w:p>
      <w:pPr>
        <w:pStyle w:val="ListParagraph"/>
        <w:numPr>
          <w:ilvl w:val="0"/>
          <w:numId w:val="2"/>
        </w:numPr>
        <w:spacing w:after="60"/>
      </w:pPr>
      <w:r>
        <w:rPr>
          <w:rFonts w:ascii="Arial" w:cs="Arial" w:eastAsia="Arial" w:hAnsi="Arial"/>
          <w:sz w:val="22"/>
          <w:szCs w:val="22"/>
        </w:rPr>
        <w:t xml:space="preserve">Get Started (dark navy card) → /contact</w:t>
      </w:r>
    </w:p>
    <w:p>
      <w:pPr>
        <w:pStyle w:val="Heading2"/>
      </w:pPr>
      <w:r>
        <w:t xml:space="preserve">Compliance Page ( /compliance )</w:t>
      </w:r>
    </w:p>
    <w:p>
      <w:pPr>
        <w:spacing w:after="120"/>
      </w:pPr>
      <w:r>
        <w:rPr>
          <w:rFonts w:ascii="Arial" w:cs="Arial" w:eastAsia="Arial" w:hAnsi="Arial"/>
          <w:sz w:val="22"/>
          <w:szCs w:val="22"/>
        </w:rPr>
        <w:t xml:space="preserve">Hero: “Regulation tracking, built into every scan.” Covers both Texas and California regulations side by side:</w:t>
      </w:r>
    </w:p>
    <w:p>
      <w:pPr>
        <w:pStyle w:val="ListParagraph"/>
        <w:numPr>
          <w:ilvl w:val="0"/>
          <w:numId w:val="2"/>
        </w:numPr>
        <w:spacing w:after="60"/>
      </w:pPr>
      <w:r>
        <w:rPr>
          <w:rFonts w:ascii="Arial" w:cs="Arial" w:eastAsia="Arial" w:hAnsi="Arial"/>
          <w:sz w:val="22"/>
          <w:szCs w:val="22"/>
        </w:rPr>
        <w:t xml:space="preserve">Texas: SB 1188 (data sovereignty), HB 149 (AI transparency)</w:t>
      </w:r>
    </w:p>
    <w:p>
      <w:pPr>
        <w:pStyle w:val="ListParagraph"/>
        <w:numPr>
          <w:ilvl w:val="0"/>
          <w:numId w:val="2"/>
        </w:numPr>
        <w:spacing w:after="60"/>
      </w:pPr>
      <w:r>
        <w:rPr>
          <w:rFonts w:ascii="Arial" w:cs="Arial" w:eastAsia="Arial" w:hAnsi="Arial"/>
          <w:sz w:val="22"/>
          <w:szCs w:val="22"/>
        </w:rPr>
        <w:t xml:space="preserve">California: AB 3030 (AI in healthcare), FHIR directory requirements</w:t>
      </w:r>
    </w:p>
    <w:p>
      <w:pPr>
        <w:pStyle w:val="ListParagraph"/>
        <w:numPr>
          <w:ilvl w:val="0"/>
          <w:numId w:val="2"/>
        </w:numPr>
        <w:spacing w:after="60"/>
      </w:pPr>
      <w:r>
        <w:rPr>
          <w:rFonts w:ascii="Arial" w:cs="Arial" w:eastAsia="Arial" w:hAnsi="Arial"/>
          <w:sz w:val="22"/>
          <w:szCs w:val="22"/>
        </w:rPr>
        <w:t xml:space="preserve">Coming Soon grid: Florida, New York, Illinois, +45 states</w:t>
      </w:r>
    </w:p>
    <w:p>
      <w:pPr>
        <w:pStyle w:val="ListParagraph"/>
        <w:numPr>
          <w:ilvl w:val="0"/>
          <w:numId w:val="2"/>
        </w:numPr>
        <w:spacing w:after="60"/>
      </w:pPr>
      <w:r>
        <w:rPr>
          <w:rFonts w:ascii="Arial" w:cs="Arial" w:eastAsia="Arial" w:hAnsi="Arial"/>
          <w:sz w:val="22"/>
          <w:szCs w:val="22"/>
        </w:rPr>
        <w:t xml:space="preserve">How it works: 3 steps (add providers → we check → get notified)</w:t>
      </w:r>
    </w:p>
    <w:p>
      <w:pPr>
        <w:pStyle w:val="ListParagraph"/>
        <w:numPr>
          <w:ilvl w:val="0"/>
          <w:numId w:val="2"/>
        </w:numPr>
        <w:spacing w:after="60"/>
      </w:pPr>
      <w:r>
        <w:rPr>
          <w:rFonts w:ascii="Arial" w:cs="Arial" w:eastAsia="Arial" w:hAnsi="Arial"/>
          <w:sz w:val="22"/>
          <w:szCs w:val="22"/>
        </w:rPr>
        <w:t xml:space="preserve">CTA: Get Started / Watch a Demo</w:t>
      </w:r>
    </w:p>
    <w:p>
      <w:pPr>
        <w:pStyle w:val="Heading2"/>
      </w:pPr>
      <w:r>
        <w:t xml:space="preserve">Contact/Trial Signup Page ( /contact )</w:t>
      </w:r>
    </w:p>
    <w:p>
      <w:pPr>
        <w:spacing w:after="120"/>
      </w:pPr>
      <w:r>
        <w:rPr>
          <w:rFonts w:ascii="Arial" w:cs="Arial" w:eastAsia="Arial" w:hAnsi="Arial"/>
          <w:sz w:val="22"/>
          <w:szCs w:val="22"/>
        </w:rPr>
        <w:t xml:space="preserve">Healthie-inspired split layout:</w:t>
      </w:r>
    </w:p>
    <w:p>
      <w:pPr>
        <w:pStyle w:val="ListParagraph"/>
        <w:numPr>
          <w:ilvl w:val="0"/>
          <w:numId w:val="2"/>
        </w:numPr>
        <w:spacing w:after="60"/>
      </w:pPr>
      <w:r>
        <w:rPr>
          <w:rFonts w:ascii="Arial" w:cs="Arial" w:eastAsia="Arial" w:hAnsi="Arial"/>
          <w:sz w:val="22"/>
          <w:szCs w:val="22"/>
        </w:rPr>
        <w:t xml:space="preserve">Left side: headline, 4 value prop checkmarks, testimonial quote</w:t>
      </w:r>
    </w:p>
    <w:p>
      <w:pPr>
        <w:pStyle w:val="ListParagraph"/>
        <w:numPr>
          <w:ilvl w:val="0"/>
          <w:numId w:val="2"/>
        </w:numPr>
        <w:spacing w:after="60"/>
      </w:pPr>
      <w:r>
        <w:rPr>
          <w:rFonts w:ascii="Arial" w:cs="Arial" w:eastAsia="Arial" w:hAnsi="Arial"/>
          <w:sz w:val="22"/>
          <w:szCs w:val="22"/>
        </w:rPr>
        <w:t xml:space="preserve">Right side: form card with First Name, Last Name, Email, Practice Name, NPI (10-digit validation)</w:t>
      </w:r>
    </w:p>
    <w:p>
      <w:pPr>
        <w:pStyle w:val="ListParagraph"/>
        <w:numPr>
          <w:ilvl w:val="0"/>
          <w:numId w:val="2"/>
        </w:numPr>
        <w:spacing w:after="60"/>
      </w:pPr>
      <w:r>
        <w:rPr>
          <w:rFonts w:ascii="Arial" w:cs="Arial" w:eastAsia="Arial" w:hAnsi="Arial"/>
          <w:sz w:val="22"/>
          <w:szCs w:val="22"/>
        </w:rPr>
        <w:t xml:space="preserve">Action button: “Get Free Trial” (gold)</w:t>
      </w:r>
    </w:p>
    <w:p>
      <w:pPr>
        <w:pStyle w:val="ListParagraph"/>
        <w:numPr>
          <w:ilvl w:val="0"/>
          <w:numId w:val="2"/>
        </w:numPr>
        <w:spacing w:after="60"/>
      </w:pPr>
      <w:r>
        <w:rPr>
          <w:rFonts w:ascii="Arial" w:cs="Arial" w:eastAsia="Arial" w:hAnsi="Arial"/>
          <w:sz w:val="22"/>
          <w:szCs w:val="22"/>
        </w:rPr>
        <w:t xml:space="preserve">Trust bar: No credit card, HIPAA-aligned, Cancel anytime</w:t>
      </w:r>
    </w:p>
    <w:p>
      <w:pPr>
        <w:pStyle w:val="ListParagraph"/>
        <w:numPr>
          <w:ilvl w:val="0"/>
          <w:numId w:val="2"/>
        </w:numPr>
        <w:spacing w:after="60"/>
      </w:pPr>
      <w:r>
        <w:rPr>
          <w:rFonts w:ascii="Arial" w:cs="Arial" w:eastAsia="Arial" w:hAnsi="Arial"/>
          <w:sz w:val="22"/>
          <w:szCs w:val="22"/>
        </w:rPr>
        <w:t xml:space="preserve">Success state shows confirmation with trial details</w:t>
      </w:r>
    </w:p>
    <w:p>
      <w:pPr>
        <w:spacing w:after="120"/>
      </w:pPr>
      <w:r>
        <w:rPr>
          <w:rFonts w:ascii="Arial" w:cs="Arial" w:eastAsia="Arial" w:hAnsi="Arial"/>
          <w:sz w:val="22"/>
          <w:szCs w:val="22"/>
        </w:rPr>
        <w:t xml:space="preserve">Trial model: 14-day free trial with full access, then 7 days read-only before lockout.</w:t>
      </w:r>
    </w:p>
    <w:p>
      <w:pPr>
        <w:pStyle w:val="Heading2"/>
      </w:pPr>
      <w:r>
        <w:t xml:space="preserve">Footer</w:t>
      </w:r>
    </w:p>
    <w:p>
      <w:pPr>
        <w:spacing w:after="120"/>
      </w:pPr>
      <w:r>
        <w:rPr>
          <w:rFonts w:ascii="Arial" w:cs="Arial" w:eastAsia="Arial" w:hAnsi="Arial"/>
          <w:sz w:val="22"/>
          <w:szCs w:val="22"/>
        </w:rPr>
        <w:t xml:space="preserve">Four-column footer: Platform (features), Solutions (3 segments), Resources (compliance guide, pricing, blog, contact), Company (trial, privacy, terms). Contact info: info@kairologic.net, (512) 402-2237. HIPAA compliance notice at bottom.</w:t>
      </w:r>
    </w:p>
    <w:p>
      <w:r>
        <w:br w:type="page"/>
      </w:r>
    </w:p>
    <w:p>
      <w:pPr>
        <w:pStyle w:val="Heading1"/>
      </w:pPr>
      <w:r>
        <w:t xml:space="preserve">3. 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app/(marketing)/layout.tsx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layout: nav, footer, announcement bar, fonts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(~617 lines): hero, dashboard mockup, scenarios, pipeline, state coverage, founders rate, testimonials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app/(marketing)/platform/page.tsx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features page with 4 mock UI panels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app/(marketing)/solutions/page.tsx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audience segments with benefits and CTAs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app/(marketing)/resources/page.tsx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hub with 6-card grid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app/(marketing)/compliance/page.tsx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 + CA regulation tracking page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app/(marketing)/contact/page.tsx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 signup form (Healthie-style split layout)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app/marketing.css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marketing CSS (~2000+ lines), m- namespaced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lib/payer-directory/fhir-client.ts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FHIR API client with OAuth2 support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lib/payer-directory/mismatch-engine.ts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 mismatch detection engine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lib/payer-directory/types.ts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Payer directory type definitions (~1600 lines)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scripts/test-aetna-connection.ts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Aetna FHIR API connection test script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.env.local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 (Supabase, Browserless, Aetna creds)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vercel.json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deployment config (Next.js framework)</w:t>
            </w:r>
          </w:p>
        </w:tc>
      </w:tr>
    </w:tbl>
    <w:p>
      <w:r>
        <w:br w:type="page"/>
      </w:r>
    </w:p>
    <w:p>
      <w:pPr>
        <w:pStyle w:val="Heading1"/>
      </w:pPr>
      <w:r>
        <w:t xml:space="preserve">4. Backend &amp; API Routes</w:t>
      </w:r>
    </w:p>
    <w:p>
      <w:pPr>
        <w:pStyle w:val="Heading2"/>
      </w:pPr>
      <w:r>
        <w:t xml:space="preserve">API Route Categories</w:t>
      </w:r>
    </w:p>
    <w:p>
      <w:pPr>
        <w:pStyle w:val="ListParagraph"/>
        <w:numPr>
          <w:ilvl w:val="0"/>
          <w:numId w:val="2"/>
        </w:numPr>
        <w:spacing w:after="60"/>
      </w:pPr>
      <w:r>
        <w:rPr>
          <w:rFonts w:ascii="Arial" w:cs="Arial" w:eastAsia="Arial" w:hAnsi="Arial"/>
          <w:sz w:val="22"/>
          <w:szCs w:val="22"/>
        </w:rPr>
        <w:t xml:space="preserve">Authentication: /api/auth/magic-link, /api/auth/verify, /api/auth/verify-pin</w:t>
      </w:r>
    </w:p>
    <w:p>
      <w:pPr>
        <w:pStyle w:val="ListParagraph"/>
        <w:numPr>
          <w:ilvl w:val="0"/>
          <w:numId w:val="2"/>
        </w:numPr>
        <w:spacing w:after="60"/>
      </w:pPr>
      <w:r>
        <w:rPr>
          <w:rFonts w:ascii="Arial" w:cs="Arial" w:eastAsia="Arial" w:hAnsi="Arial"/>
          <w:sz w:val="22"/>
          <w:szCs w:val="22"/>
        </w:rPr>
        <w:t xml:space="preserve">Scanning: /api/scan, /api/scan/run, /api/validate-scan</w:t>
      </w:r>
    </w:p>
    <w:p>
      <w:pPr>
        <w:pStyle w:val="ListParagraph"/>
        <w:numPr>
          <w:ilvl w:val="0"/>
          <w:numId w:val="2"/>
        </w:numPr>
        <w:spacing w:after="60"/>
      </w:pPr>
      <w:r>
        <w:rPr>
          <w:rFonts w:ascii="Arial" w:cs="Arial" w:eastAsia="Arial" w:hAnsi="Arial"/>
          <w:sz w:val="22"/>
          <w:szCs w:val="22"/>
        </w:rPr>
        <w:t xml:space="preserve">Reporting: /api/report, /api/report-lookup</w:t>
      </w:r>
    </w:p>
    <w:p>
      <w:pPr>
        <w:pStyle w:val="ListParagraph"/>
        <w:numPr>
          <w:ilvl w:val="0"/>
          <w:numId w:val="2"/>
        </w:numPr>
        <w:spacing w:after="60"/>
      </w:pPr>
      <w:r>
        <w:rPr>
          <w:rFonts w:ascii="Arial" w:cs="Arial" w:eastAsia="Arial" w:hAnsi="Arial"/>
          <w:sz w:val="22"/>
          <w:szCs w:val="22"/>
        </w:rPr>
        <w:t xml:space="preserve">Registry: /api/registry-claim</w:t>
      </w:r>
    </w:p>
    <w:p>
      <w:pPr>
        <w:pStyle w:val="ListParagraph"/>
        <w:numPr>
          <w:ilvl w:val="0"/>
          <w:numId w:val="2"/>
        </w:numPr>
        <w:spacing w:after="60"/>
      </w:pPr>
      <w:r>
        <w:rPr>
          <w:rFonts w:ascii="Arial" w:cs="Arial" w:eastAsia="Arial" w:hAnsi="Arial"/>
          <w:sz w:val="22"/>
          <w:szCs w:val="22"/>
        </w:rPr>
        <w:t xml:space="preserve">Widget: /api/widget/[npi], /api/widget/baseline, /api/widget/drift, /api/widget/heartbeat</w:t>
      </w:r>
    </w:p>
    <w:p>
      <w:pPr>
        <w:pStyle w:val="ListParagraph"/>
        <w:numPr>
          <w:ilvl w:val="0"/>
          <w:numId w:val="2"/>
        </w:numPr>
        <w:spacing w:after="60"/>
      </w:pPr>
      <w:r>
        <w:rPr>
          <w:rFonts w:ascii="Arial" w:cs="Arial" w:eastAsia="Arial" w:hAnsi="Arial"/>
          <w:sz w:val="22"/>
          <w:szCs w:val="22"/>
        </w:rPr>
        <w:t xml:space="preserve">Email: /api/email/send, /api/email/diagnose, /api/contact</w:t>
      </w:r>
    </w:p>
    <w:p>
      <w:pPr>
        <w:pStyle w:val="ListParagraph"/>
        <w:numPr>
          <w:ilvl w:val="0"/>
          <w:numId w:val="2"/>
        </w:numPr>
        <w:spacing w:after="60"/>
      </w:pPr>
      <w:r>
        <w:rPr>
          <w:rFonts w:ascii="Arial" w:cs="Arial" w:eastAsia="Arial" w:hAnsi="Arial"/>
          <w:sz w:val="22"/>
          <w:szCs w:val="22"/>
        </w:rPr>
        <w:t xml:space="preserve">Payments: /api/stripe-session, /api/stripe/webhook</w:t>
      </w:r>
    </w:p>
    <w:p>
      <w:pPr>
        <w:pStyle w:val="ListParagraph"/>
        <w:numPr>
          <w:ilvl w:val="0"/>
          <w:numId w:val="2"/>
        </w:numPr>
        <w:spacing w:after="60"/>
      </w:pPr>
      <w:r>
        <w:rPr>
          <w:rFonts w:ascii="Arial" w:cs="Arial" w:eastAsia="Arial" w:hAnsi="Arial"/>
          <w:sz w:val="22"/>
          <w:szCs w:val="22"/>
        </w:rPr>
        <w:t xml:space="preserve">Admin: /api/admin/bulk-scan, /api/admin/generate-asset, /api/shield/dashboard</w:t>
      </w:r>
    </w:p>
    <w:p>
      <w:pPr>
        <w:pStyle w:val="Heading2"/>
      </w:pPr>
      <w:r>
        <w:t xml:space="preserve">Payer Directory Integration</w:t>
      </w:r>
    </w:p>
    <w:p>
      <w:pPr>
        <w:spacing w:after="120"/>
      </w:pPr>
      <w:r>
        <w:rPr>
          <w:rFonts w:ascii="Arial" w:cs="Arial" w:eastAsia="Arial" w:hAnsi="Arial"/>
          <w:sz w:val="22"/>
          <w:szCs w:val="22"/>
        </w:rPr>
        <w:t xml:space="preserve">FHIR PDex Plan-Net directory integration with per-payer OAuth2 configuration. Supports 6 payers:</w:t>
      </w:r>
    </w:p>
    <w:p>
      <w:pPr>
        <w:pStyle w:val="ListParagraph"/>
        <w:numPr>
          <w:ilvl w:val="0"/>
          <w:numId w:val="2"/>
        </w:numPr>
        <w:spacing w:after="60"/>
      </w:pPr>
      <w:r>
        <w:rPr>
          <w:rFonts w:ascii="Arial" w:cs="Arial" w:eastAsia="Arial" w:hAnsi="Arial"/>
          <w:sz w:val="22"/>
          <w:szCs w:val="22"/>
        </w:rPr>
        <w:t xml:space="preserve">UnitedHealthcare (UHC) — FHIR, active</w:t>
      </w:r>
    </w:p>
    <w:p>
      <w:pPr>
        <w:pStyle w:val="ListParagraph"/>
        <w:numPr>
          <w:ilvl w:val="0"/>
          <w:numId w:val="2"/>
        </w:numPr>
        <w:spacing w:after="60"/>
      </w:pPr>
      <w:r>
        <w:rPr>
          <w:rFonts w:ascii="Arial" w:cs="Arial" w:eastAsia="Arial" w:hAnsi="Arial"/>
          <w:sz w:val="22"/>
          <w:szCs w:val="22"/>
        </w:rPr>
        <w:t xml:space="preserve">Humana — FHIR, active</w:t>
      </w:r>
    </w:p>
    <w:p>
      <w:pPr>
        <w:pStyle w:val="ListParagraph"/>
        <w:numPr>
          <w:ilvl w:val="0"/>
          <w:numId w:val="2"/>
        </w:numPr>
        <w:spacing w:after="60"/>
      </w:pPr>
      <w:r>
        <w:rPr>
          <w:rFonts w:ascii="Arial" w:cs="Arial" w:eastAsia="Arial" w:hAnsi="Arial"/>
          <w:sz w:val="22"/>
          <w:szCs w:val="22"/>
        </w:rPr>
        <w:t xml:space="preserve">Cigna — FHIR, active</w:t>
      </w:r>
    </w:p>
    <w:p>
      <w:pPr>
        <w:pStyle w:val="ListParagraph"/>
        <w:numPr>
          <w:ilvl w:val="0"/>
          <w:numId w:val="2"/>
        </w:numPr>
        <w:spacing w:after="60"/>
      </w:pPr>
      <w:r>
        <w:rPr>
          <w:rFonts w:ascii="Arial" w:cs="Arial" w:eastAsia="Arial" w:hAnsi="Arial"/>
          <w:sz w:val="22"/>
          <w:szCs w:val="22"/>
        </w:rPr>
        <w:t xml:space="preserve">Aetna — FHIR with OAuth2 (Basic Auth + scope “Public NonPII”), active</w:t>
      </w:r>
    </w:p>
    <w:p>
      <w:pPr>
        <w:pStyle w:val="ListParagraph"/>
        <w:numPr>
          <w:ilvl w:val="0"/>
          <w:numId w:val="2"/>
        </w:numPr>
        <w:spacing w:after="60"/>
      </w:pPr>
      <w:r>
        <w:rPr>
          <w:rFonts w:ascii="Arial" w:cs="Arial" w:eastAsia="Arial" w:hAnsi="Arial"/>
          <w:sz w:val="22"/>
          <w:szCs w:val="22"/>
        </w:rPr>
        <w:t xml:space="preserve">BCBS TX — Scraper (Browserless), active</w:t>
      </w:r>
    </w:p>
    <w:p>
      <w:pPr>
        <w:pStyle w:val="ListParagraph"/>
        <w:numPr>
          <w:ilvl w:val="0"/>
          <w:numId w:val="2"/>
        </w:numPr>
        <w:spacing w:after="60"/>
      </w:pPr>
      <w:r>
        <w:rPr>
          <w:rFonts w:ascii="Arial" w:cs="Arial" w:eastAsia="Arial" w:hAnsi="Arial"/>
          <w:sz w:val="22"/>
          <w:szCs w:val="22"/>
        </w:rPr>
        <w:t xml:space="preserve">Blue Shield CA — FHIR, pre-wired but inactive (waiting for dev portal approval)</w:t>
      </w:r>
    </w:p>
    <w:p>
      <w:pPr>
        <w:pStyle w:val="Heading2"/>
      </w:pPr>
      <w:r>
        <w:t xml:space="preserve">Aetna OAuth2 Configuration</w:t>
      </w:r>
    </w:p>
    <w:p>
      <w:pPr>
        <w:spacing w:after="120"/>
      </w:pPr>
      <w:r>
        <w:rPr>
          <w:rFonts w:ascii="Arial" w:cs="Arial" w:eastAsia="Arial" w:hAnsi="Arial"/>
          <w:sz w:val="22"/>
          <w:szCs w:val="22"/>
        </w:rPr>
        <w:t xml:space="preserve">Token URL: https://apif1.aetna.com/fhir/v1/fhirserver_auth/oauth2/token</w:t>
      </w:r>
    </w:p>
    <w:p>
      <w:pPr>
        <w:spacing w:after="120"/>
      </w:pPr>
      <w:r>
        <w:rPr>
          <w:rFonts w:ascii="Arial" w:cs="Arial" w:eastAsia="Arial" w:hAnsi="Arial"/>
          <w:sz w:val="22"/>
          <w:szCs w:val="22"/>
        </w:rPr>
        <w:t xml:space="preserve">FHIR Base: https://apif1.aetna.com/fhir/v1/providerdirectorydata</w:t>
      </w:r>
    </w:p>
    <w:p>
      <w:pPr>
        <w:spacing w:after="120"/>
      </w:pPr>
      <w:r>
        <w:rPr>
          <w:rFonts w:ascii="Arial" w:cs="Arial" w:eastAsia="Arial" w:hAnsi="Arial"/>
          <w:sz w:val="22"/>
          <w:szCs w:val="22"/>
        </w:rPr>
        <w:t xml:space="preserve">Auth method: Basic Auth header (base64 client_id:client_secret), NOT body params</w:t>
      </w:r>
    </w:p>
    <w:p>
      <w:pPr>
        <w:spacing w:after="120"/>
      </w:pPr>
      <w:r>
        <w:rPr>
          <w:rFonts w:ascii="Arial" w:cs="Arial" w:eastAsia="Arial" w:hAnsi="Arial"/>
          <w:sz w:val="22"/>
          <w:szCs w:val="22"/>
        </w:rPr>
        <w:t xml:space="preserve">Scope: “Public NonPII” (required)</w:t>
      </w:r>
    </w:p>
    <w:p>
      <w:pPr>
        <w:spacing w:after="120"/>
      </w:pPr>
      <w:r>
        <w:rPr>
          <w:rFonts w:ascii="Arial" w:cs="Arial" w:eastAsia="Arial" w:hAnsi="Arial"/>
          <w:sz w:val="22"/>
          <w:szCs w:val="22"/>
        </w:rPr>
        <w:t xml:space="preserve">Credentials stored in Supabase payer_directory_endpoints table (auth_config JSONB) and in .env.local / Vercel env vars.</w:t>
      </w:r>
    </w:p>
    <w:p>
      <w:pPr>
        <w:pStyle w:val="Heading2"/>
      </w:pPr>
      <w:r>
        <w:t xml:space="preserve">Database</w:t>
      </w:r>
    </w:p>
    <w:p>
      <w:pPr>
        <w:spacing w:after="120"/>
      </w:pPr>
      <w:r>
        <w:rPr>
          <w:rFonts w:ascii="Arial" w:cs="Arial" w:eastAsia="Arial" w:hAnsi="Arial"/>
          <w:sz w:val="22"/>
          <w:szCs w:val="22"/>
        </w:rPr>
        <w:t xml:space="preserve">Supabase (PostgreSQL). Key table for payer config: payer_directory_endpoints with columns: payer_name, fhir_base_url, auth_type (oauth2_client_credentials), auth_config (JSONB with client_id, client_secret, token_url, auth_method, scope), is_active, rate_limit_rpm.</w:t>
      </w:r>
    </w:p>
    <w:p>
      <w:pPr>
        <w:pStyle w:val="Heading2"/>
      </w:pPr>
      <w:r>
        <w:t xml:space="preserve">Data Sources</w:t>
      </w:r>
    </w:p>
    <w:p>
      <w:pPr>
        <w:pStyle w:val="ListParagraph"/>
        <w:numPr>
          <w:ilvl w:val="0"/>
          <w:numId w:val="2"/>
        </w:numPr>
        <w:spacing w:after="60"/>
      </w:pPr>
      <w:r>
        <w:rPr>
          <w:rFonts w:ascii="Arial" w:cs="Arial" w:eastAsia="Arial" w:hAnsi="Arial"/>
          <w:sz w:val="22"/>
          <w:szCs w:val="22"/>
        </w:rPr>
        <w:t xml:space="preserve">CMS NPPES: 1.8M+ provider records, weekly differential sync</w:t>
      </w:r>
    </w:p>
    <w:p>
      <w:pPr>
        <w:pStyle w:val="ListParagraph"/>
        <w:numPr>
          <w:ilvl w:val="0"/>
          <w:numId w:val="2"/>
        </w:numPr>
        <w:spacing w:after="60"/>
      </w:pPr>
      <w:r>
        <w:rPr>
          <w:rFonts w:ascii="Arial" w:cs="Arial" w:eastAsia="Arial" w:hAnsi="Arial"/>
          <w:sz w:val="22"/>
          <w:szCs w:val="22"/>
        </w:rPr>
        <w:t xml:space="preserve">State medical boards: Texas (TMB) and California (MBC) license checks</w:t>
      </w:r>
    </w:p>
    <w:p>
      <w:pPr>
        <w:pStyle w:val="ListParagraph"/>
        <w:numPr>
          <w:ilvl w:val="0"/>
          <w:numId w:val="2"/>
        </w:numPr>
        <w:spacing w:after="60"/>
      </w:pPr>
      <w:r>
        <w:rPr>
          <w:rFonts w:ascii="Arial" w:cs="Arial" w:eastAsia="Arial" w:hAnsi="Arial"/>
          <w:sz w:val="22"/>
          <w:szCs w:val="22"/>
        </w:rPr>
        <w:t xml:space="preserve">PECOS: Medicare enrollment reassignment data, monthly sync</w:t>
      </w:r>
    </w:p>
    <w:p>
      <w:pPr>
        <w:pStyle w:val="ListParagraph"/>
        <w:numPr>
          <w:ilvl w:val="0"/>
          <w:numId w:val="2"/>
        </w:numPr>
        <w:spacing w:after="60"/>
      </w:pPr>
      <w:r>
        <w:rPr>
          <w:rFonts w:ascii="Arial" w:cs="Arial" w:eastAsia="Arial" w:hAnsi="Arial"/>
          <w:sz w:val="22"/>
          <w:szCs w:val="22"/>
        </w:rPr>
        <w:t xml:space="preserve">Practice websites: 34K+ monitored via Browserless scraping</w:t>
      </w:r>
    </w:p>
    <w:p>
      <w:pPr>
        <w:pStyle w:val="ListParagraph"/>
        <w:numPr>
          <w:ilvl w:val="0"/>
          <w:numId w:val="2"/>
        </w:numPr>
        <w:spacing w:after="60"/>
      </w:pPr>
      <w:r>
        <w:rPr>
          <w:rFonts w:ascii="Arial" w:cs="Arial" w:eastAsia="Arial" w:hAnsi="Arial"/>
          <w:sz w:val="22"/>
          <w:szCs w:val="22"/>
        </w:rPr>
        <w:t xml:space="preserve">Payer FHIR directories: UHC, Humana, Cigna, Aetna, BCBS TX</w:t>
      </w:r>
    </w:p>
    <w:p>
      <w:r>
        <w:br w:type="page"/>
      </w:r>
    </w:p>
    <w:p>
      <w:pPr>
        <w:pStyle w:val="Heading1"/>
      </w:pPr>
      <w:r>
        <w:t xml:space="preserve">5. Dashboard Application</w:t>
      </w:r>
    </w:p>
    <w:p>
      <w:pPr>
        <w:spacing w:after="120"/>
      </w:pPr>
      <w:r>
        <w:rPr>
          <w:rFonts w:ascii="Arial" w:cs="Arial" w:eastAsia="Arial" w:hAnsi="Arial"/>
          <w:sz w:val="22"/>
          <w:szCs w:val="22"/>
        </w:rPr>
        <w:t xml:space="preserve">The (site) route group contains the full application dashboard, accessible at /dashboard after login (/dashboard/login with magic link auth).</w:t>
      </w:r>
    </w:p>
    <w:p>
      <w:pPr>
        <w:pStyle w:val="Heading2"/>
      </w:pPr>
      <w:r>
        <w:t xml:space="preserve">Dashboard Features</w:t>
      </w:r>
    </w:p>
    <w:p>
      <w:pPr>
        <w:pStyle w:val="ListParagraph"/>
        <w:numPr>
          <w:ilvl w:val="0"/>
          <w:numId w:val="2"/>
        </w:numPr>
        <w:spacing w:after="60"/>
      </w:pPr>
      <w:r>
        <w:rPr>
          <w:rFonts w:ascii="Arial" w:cs="Arial" w:eastAsia="Arial" w:hAnsi="Arial"/>
          <w:sz w:val="22"/>
          <w:szCs w:val="22"/>
        </w:rPr>
        <w:t xml:space="preserve">Provider roster view with status indicators (needs attention, in progress, monitoring, all clear)</w:t>
      </w:r>
    </w:p>
    <w:p>
      <w:pPr>
        <w:pStyle w:val="ListParagraph"/>
        <w:numPr>
          <w:ilvl w:val="0"/>
          <w:numId w:val="2"/>
        </w:numPr>
        <w:spacing w:after="60"/>
      </w:pPr>
      <w:r>
        <w:rPr>
          <w:rFonts w:ascii="Arial" w:cs="Arial" w:eastAsia="Arial" w:hAnsi="Arial"/>
          <w:sz w:val="22"/>
          <w:szCs w:val="22"/>
        </w:rPr>
        <w:t xml:space="preserve">Provider detail panel with tabbed layout: Overview (data accuracy), Credentialing (timeline + tasks), History (audit trail)</w:t>
      </w:r>
    </w:p>
    <w:p>
      <w:pPr>
        <w:pStyle w:val="ListParagraph"/>
        <w:numPr>
          <w:ilvl w:val="0"/>
          <w:numId w:val="2"/>
        </w:numPr>
        <w:spacing w:after="60"/>
      </w:pPr>
      <w:r>
        <w:rPr>
          <w:rFonts w:ascii="Arial" w:cs="Arial" w:eastAsia="Arial" w:hAnsi="Arial"/>
          <w:sz w:val="22"/>
          <w:szCs w:val="22"/>
        </w:rPr>
        <w:t xml:space="preserve">Credentialing workflows: onboarding (5-stage pipeline) and departure (removal tracking + 90-day phantom monitoring)</w:t>
      </w:r>
    </w:p>
    <w:p>
      <w:pPr>
        <w:pStyle w:val="ListParagraph"/>
        <w:numPr>
          <w:ilvl w:val="0"/>
          <w:numId w:val="2"/>
        </w:numPr>
        <w:spacing w:after="60"/>
      </w:pPr>
      <w:r>
        <w:rPr>
          <w:rFonts w:ascii="Arial" w:cs="Arial" w:eastAsia="Arial" w:hAnsi="Arial"/>
          <w:sz w:val="22"/>
          <w:szCs w:val="22"/>
        </w:rPr>
        <w:t xml:space="preserve">Compliance tracking per provider per state regulation</w:t>
      </w:r>
    </w:p>
    <w:p>
      <w:pPr>
        <w:pStyle w:val="ListParagraph"/>
        <w:numPr>
          <w:ilvl w:val="0"/>
          <w:numId w:val="2"/>
        </w:numPr>
        <w:spacing w:after="60"/>
      </w:pPr>
      <w:r>
        <w:rPr>
          <w:rFonts w:ascii="Arial" w:cs="Arial" w:eastAsia="Arial" w:hAnsi="Arial"/>
          <w:sz w:val="22"/>
          <w:szCs w:val="22"/>
        </w:rPr>
        <w:t xml:space="preserve">Payer directory mismatch detection and correction actions</w:t>
      </w:r>
    </w:p>
    <w:p>
      <w:pPr>
        <w:pStyle w:val="ListParagraph"/>
        <w:numPr>
          <w:ilvl w:val="0"/>
          <w:numId w:val="2"/>
        </w:numPr>
        <w:spacing w:after="60"/>
      </w:pPr>
      <w:r>
        <w:rPr>
          <w:rFonts w:ascii="Arial" w:cs="Arial" w:eastAsia="Arial" w:hAnsi="Arial"/>
          <w:sz w:val="22"/>
          <w:szCs w:val="22"/>
        </w:rPr>
        <w:t xml:space="preserve">Practice-level payer directory view at /practice/[id]/payer-directory</w:t>
      </w:r>
    </w:p>
    <w:p>
      <w:pPr>
        <w:pStyle w:val="ListParagraph"/>
        <w:numPr>
          <w:ilvl w:val="0"/>
          <w:numId w:val="2"/>
        </w:numPr>
        <w:spacing w:after="60"/>
      </w:pPr>
      <w:r>
        <w:rPr>
          <w:rFonts w:ascii="Arial" w:cs="Arial" w:eastAsia="Arial" w:hAnsi="Arial"/>
          <w:sz w:val="22"/>
          <w:szCs w:val="22"/>
        </w:rPr>
        <w:t xml:space="preserve">Admin tools: bulk scan, email testing, Stripe testing, Shield security dashboard</w:t>
      </w:r>
    </w:p>
    <w:p>
      <w:pPr>
        <w:pStyle w:val="Heading2"/>
      </w:pPr>
      <w:r>
        <w:t xml:space="preserve">Credentialing Workflow Stages</w:t>
      </w:r>
    </w:p>
    <w:p>
      <w:pPr>
        <w:pStyle w:val="ListParagraph"/>
        <w:numPr>
          <w:ilvl w:val="0"/>
          <w:numId w:val="2"/>
        </w:numPr>
        <w:spacing w:after="60"/>
      </w:pPr>
      <w:r>
        <w:rPr>
          <w:rFonts w:ascii="Arial" w:cs="Arial" w:eastAsia="Arial" w:hAnsi="Arial"/>
          <w:sz w:val="22"/>
          <w:szCs w:val="22"/>
        </w:rPr>
        <w:t xml:space="preserve">Stage 1 — Assess: 14-point integrity scan (NPPES, state boards, PECOS, practice websites)</w:t>
      </w:r>
    </w:p>
    <w:p>
      <w:pPr>
        <w:pStyle w:val="ListParagraph"/>
        <w:numPr>
          <w:ilvl w:val="0"/>
          <w:numId w:val="2"/>
        </w:numPr>
        <w:spacing w:after="60"/>
      </w:pPr>
      <w:r>
        <w:rPr>
          <w:rFonts w:ascii="Arial" w:cs="Arial" w:eastAsia="Arial" w:hAnsi="Arial"/>
          <w:sz w:val="22"/>
          <w:szCs w:val="22"/>
        </w:rPr>
        <w:t xml:space="preserve">Stage 2 — CAQH Update: flag outdated fields, generate corrections</w:t>
      </w:r>
    </w:p>
    <w:p>
      <w:pPr>
        <w:pStyle w:val="ListParagraph"/>
        <w:numPr>
          <w:ilvl w:val="0"/>
          <w:numId w:val="2"/>
        </w:numPr>
        <w:spacing w:after="60"/>
      </w:pPr>
      <w:r>
        <w:rPr>
          <w:rFonts w:ascii="Arial" w:cs="Arial" w:eastAsia="Arial" w:hAnsi="Arial"/>
          <w:sz w:val="22"/>
          <w:szCs w:val="22"/>
        </w:rPr>
        <w:t xml:space="preserve">Stage 3 — NPPES Correction: submit address and taxonomy corrections</w:t>
      </w:r>
    </w:p>
    <w:p>
      <w:pPr>
        <w:pStyle w:val="ListParagraph"/>
        <w:numPr>
          <w:ilvl w:val="0"/>
          <w:numId w:val="2"/>
        </w:numPr>
        <w:spacing w:after="60"/>
      </w:pPr>
      <w:r>
        <w:rPr>
          <w:rFonts w:ascii="Arial" w:cs="Arial" w:eastAsia="Arial" w:hAnsi="Arial"/>
          <w:sz w:val="22"/>
          <w:szCs w:val="22"/>
        </w:rPr>
        <w:t xml:space="preserve">Stage 4 — Payer Enrollment: track enrollment across multiple payers</w:t>
      </w:r>
    </w:p>
    <w:p>
      <w:pPr>
        <w:pStyle w:val="ListParagraph"/>
        <w:numPr>
          <w:ilvl w:val="0"/>
          <w:numId w:val="2"/>
        </w:numPr>
        <w:spacing w:after="60"/>
      </w:pPr>
      <w:r>
        <w:rPr>
          <w:rFonts w:ascii="Arial" w:cs="Arial" w:eastAsia="Arial" w:hAnsi="Arial"/>
          <w:sz w:val="22"/>
          <w:szCs w:val="22"/>
        </w:rPr>
        <w:t xml:space="preserve">Stage 5 — Monitor: continuous monitoring for data drift, license changes, directory discrepancies</w:t>
      </w:r>
    </w:p>
    <w:p>
      <w:pPr>
        <w:pStyle w:val="Heading1"/>
      </w:pPr>
      <w:r>
        <w:t xml:space="preserve">6. Pricing Model</w:t>
      </w:r>
    </w:p>
    <w:p>
      <w:pPr>
        <w:spacing w:after="120"/>
      </w:pPr>
      <w:r>
        <w:rPr>
          <w:rFonts w:ascii="Arial" w:cs="Arial" w:eastAsia="Arial" w:hAnsi="Arial"/>
          <w:sz w:val="22"/>
          <w:szCs w:val="22"/>
        </w:rPr>
        <w:t xml:space="preserve">Founders Rate: $99/month flat for first 20 organizations, regardless of roster size. Rate locked for 12 months. Full platform access, all compliance checks, credentialing workflows, and priority support included. Currently 7 of 20 spots filled (as shown on homepage).</w:t>
      </w:r>
    </w:p>
    <w:p>
      <w:pPr>
        <w:spacing w:after="120"/>
      </w:pPr>
      <w:r>
        <w:rPr>
          <w:rFonts w:ascii="Arial" w:cs="Arial" w:eastAsia="Arial" w:hAnsi="Arial"/>
          <w:sz w:val="22"/>
          <w:szCs w:val="22"/>
        </w:rPr>
        <w:t xml:space="preserve">Standard pricing tiers (from old /pricing page in (site) route group): Starter $49/mo (≤5 providers), Growth $99/mo (≤15), Group $199/mo (≤40), Enterprise custom. Note: The marketing pricing page may need updating to match the new nav structure.</w:t>
      </w:r>
    </w:p>
    <w:p>
      <w:r>
        <w:br w:type="page"/>
      </w:r>
    </w:p>
    <w:p>
      <w:pPr>
        <w:pStyle w:val="Heading1"/>
      </w:pPr>
      <w:r>
        <w:t xml:space="preserve">7. Pending Tasks &amp;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Blue Shield CA FHIR integration</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sz w:val="22"/>
                <w:szCs w:val="22"/>
              </w:rPr>
              <w:t xml:space="preserve">BLOCKED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Aetna connection test (run locally)</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2"/>
                <w:szCs w:val="22"/>
              </w:rPr>
              <w:t xml:space="preserve">PENDING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Pricing page in marketing layout</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2"/>
                <w:szCs w:val="22"/>
              </w:rPr>
              <w:t xml:space="preserve">PENDING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/demo page (linked from various CTAs)</w:t>
            </w:r>
          </w:p>
        </w:tc>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jc w:val="center"/>
            </w:pPr>
            <w:r>
              <w:rPr>
                <w:rFonts w:ascii="Arial" w:cs="Arial" w:eastAsia="Arial" w:hAnsi="Arial"/>
                <w:b/>
                <w:bCs/>
                <w:sz w:val="22"/>
                <w:szCs w:val="22"/>
              </w:rPr>
              <w:t xml:space="preserve">MISSING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 env vars for Aetna</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sz w:val="22"/>
                <w:szCs w:val="22"/>
              </w:rPr>
              <w:t xml:space="preserve">PENDING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npm audit vulnerabilities (5 total)</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sz w:val="22"/>
                <w:szCs w:val="22"/>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Old (site) pages cleanup</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jc w:val="center"/>
            </w:pPr>
            <w:r>
              <w:rPr>
                <w:rFonts w:ascii="Arial" w:cs="Arial" w:eastAsia="Arial" w:hAnsi="Arial"/>
                <w:b/>
                <w:bCs/>
                <w:sz w:val="22"/>
                <w:szCs w:val="22"/>
              </w:rPr>
              <w:t xml:space="preserve">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before="200"/>
      </w:pPr>
    </w:p>
    <w:p>
      <w:pPr>
        <w:pStyle w:val="Heading2"/>
      </w:pPr>
      <w:r>
        <w:t xml:space="preserve">Pending Task Details</w:t>
      </w:r>
    </w:p>
    <w:p>
      <w:pPr>
        <w:spacing w:after="120"/>
      </w:pPr>
      <w:r>
        <w:rPr>
          <w:rFonts w:ascii="Arial" w:cs="Arial" w:eastAsia="Arial" w:hAnsi="Arial"/>
          <w:b/>
          <w:bCs/>
          <w:sz w:val="22"/>
          <w:szCs w:val="22"/>
        </w:rPr>
        <w:t xml:space="preserve">Blue Shield CA FHIR Integration</w:t>
      </w:r>
    </w:p>
    <w:p>
      <w:pPr>
        <w:spacing w:after="120"/>
      </w:pPr>
      <w:r>
        <w:rPr>
          <w:rFonts w:ascii="Arial" w:cs="Arial" w:eastAsia="Arial" w:hAnsi="Arial"/>
          <w:sz w:val="22"/>
          <w:szCs w:val="22"/>
        </w:rPr>
        <w:t xml:space="preserve">Pre-wired in code (DB endpoint configured, auth type set to api_key_query, is_active=false). Waiting for developer portal account approval from Blue Shield CA. Once approved, set credentials in DB and flip is_active to true — no code change needed.</w:t>
      </w:r>
    </w:p>
    <w:p>
      <w:pPr>
        <w:spacing w:after="120"/>
      </w:pPr>
      <w:r>
        <w:rPr>
          <w:rFonts w:ascii="Arial" w:cs="Arial" w:eastAsia="Arial" w:hAnsi="Arial"/>
          <w:b/>
          <w:bCs/>
          <w:sz w:val="22"/>
          <w:szCs w:val="22"/>
        </w:rPr>
        <w:t xml:space="preserve">Aetna Connection Test</w:t>
      </w:r>
    </w:p>
    <w:p>
      <w:pPr>
        <w:spacing w:after="120"/>
      </w:pPr>
      <w:r>
        <w:rPr>
          <w:rFonts w:ascii="Arial" w:cs="Arial" w:eastAsia="Arial" w:hAnsi="Arial"/>
          <w:sz w:val="22"/>
          <w:szCs w:val="22"/>
        </w:rPr>
        <w:t xml:space="preserve">Script at scripts/test-aetna-connection.ts ready to run locally with: npx tsx scripts/test-aetna-connection.ts. User modified the script with corrected FHIR_BASE URL (https://apif1.aetna.com/fhir/v1/providerdirectorydata) and test NPI 1326061003. Cannot run from sandbox due to Aetna API being blocked by allowlist proxy.</w:t>
      </w:r>
    </w:p>
    <w:p>
      <w:pPr>
        <w:spacing w:after="120"/>
      </w:pPr>
      <w:r>
        <w:rPr>
          <w:rFonts w:ascii="Arial" w:cs="Arial" w:eastAsia="Arial" w:hAnsi="Arial"/>
          <w:b/>
          <w:bCs/>
          <w:sz w:val="22"/>
          <w:szCs w:val="22"/>
        </w:rPr>
        <w:t xml:space="preserve">Vercel Environment Variables for Aetna</w:t>
      </w:r>
    </w:p>
    <w:p>
      <w:pPr>
        <w:spacing w:after="120"/>
      </w:pPr>
      <w:r>
        <w:rPr>
          <w:rFonts w:ascii="Arial" w:cs="Arial" w:eastAsia="Arial" w:hAnsi="Arial"/>
          <w:sz w:val="22"/>
          <w:szCs w:val="22"/>
        </w:rPr>
        <w:t xml:space="preserve">AETNA_CLIENT_ID and AETNA_CLIENT_SECRET need to be manually set in Vercel dashboard for Production, Preview, and Development environments. Values are in .env.local.</w:t>
      </w:r>
    </w:p>
    <w:p>
      <w:pPr>
        <w:spacing w:after="120"/>
      </w:pPr>
      <w:r>
        <w:rPr>
          <w:rFonts w:ascii="Arial" w:cs="Arial" w:eastAsia="Arial" w:hAnsi="Arial"/>
          <w:b/>
          <w:bCs/>
          <w:sz w:val="22"/>
          <w:szCs w:val="22"/>
        </w:rPr>
        <w:t xml:space="preserve">Pricing Page</w:t>
      </w:r>
    </w:p>
    <w:p>
      <w:pPr>
        <w:spacing w:after="120"/>
      </w:pPr>
      <w:r>
        <w:rPr>
          <w:rFonts w:ascii="Arial" w:cs="Arial" w:eastAsia="Arial" w:hAnsi="Arial"/>
          <w:sz w:val="22"/>
          <w:szCs w:val="22"/>
        </w:rPr>
        <w:t xml:space="preserve">Exists in old (site) route group. May need a marketing-layout version under (marketing) to match the new nav. Currently the nav links to /pricing which resolves to the old (site) layout version.</w:t>
      </w:r>
    </w:p>
    <w:p>
      <w:pPr>
        <w:spacing w:after="120"/>
      </w:pPr>
      <w:r>
        <w:rPr>
          <w:rFonts w:ascii="Arial" w:cs="Arial" w:eastAsia="Arial" w:hAnsi="Arial"/>
          <w:b/>
          <w:bCs/>
          <w:sz w:val="22"/>
          <w:szCs w:val="22"/>
        </w:rPr>
        <w:t xml:space="preserve">/demo Page</w:t>
      </w:r>
    </w:p>
    <w:p>
      <w:pPr>
        <w:spacing w:after="120"/>
      </w:pPr>
      <w:r>
        <w:rPr>
          <w:rFonts w:ascii="Arial" w:cs="Arial" w:eastAsia="Arial" w:hAnsi="Arial"/>
          <w:sz w:val="22"/>
          <w:szCs w:val="22"/>
        </w:rPr>
        <w:t xml:space="preserve">Multiple CTAs link to /demo (“Watch a Demo”) but no page exists yet. Needs to be created or redirected to an external demo recording.</w:t>
      </w:r>
    </w:p>
    <w:p>
      <w:pPr>
        <w:spacing w:after="120"/>
      </w:pPr>
      <w:r>
        <w:rPr>
          <w:rFonts w:ascii="Arial" w:cs="Arial" w:eastAsia="Arial" w:hAnsi="Arial"/>
          <w:b/>
          <w:bCs/>
          <w:sz w:val="22"/>
          <w:szCs w:val="22"/>
        </w:rPr>
        <w:t xml:space="preserve">Old (site) Pages</w:t>
      </w:r>
    </w:p>
    <w:p>
      <w:pPr>
        <w:spacing w:after="120"/>
      </w:pPr>
      <w:r>
        <w:rPr>
          <w:rFonts w:ascii="Arial" w:cs="Arial" w:eastAsia="Arial" w:hAnsi="Arial"/>
          <w:sz w:val="22"/>
          <w:szCs w:val="22"/>
        </w:rPr>
        <w:t xml:space="preserve">Several legacy pages remain in the (site) route group: compliance-old, contact-old, scan, registry, widget/test. These were renamed to avoid route conflicts. Can be cleaned up when ready.</w:t>
      </w:r>
    </w:p>
    <w:p>
      <w:r>
        <w:br w:type="page"/>
      </w:r>
    </w:p>
    <w:p>
      <w:pPr>
        <w:pStyle w:val="Heading1"/>
      </w:pPr>
      <w:r>
        <w:t xml:space="preserve">8. Environment &amp; Deployment</w:t>
      </w:r>
    </w:p>
    <w:p>
      <w:pPr>
        <w:pStyle w:val="Heading2"/>
      </w:pPr>
      <w:r>
        <w:t xml:space="preserve">Environment Variables</w:t>
      </w:r>
    </w:p>
    <w:p>
      <w:pPr>
        <w:pStyle w:val="ListParagraph"/>
        <w:numPr>
          <w:ilvl w:val="0"/>
          <w:numId w:val="2"/>
        </w:numPr>
        <w:spacing w:after="60"/>
      </w:pPr>
      <w:r>
        <w:rPr>
          <w:rFonts w:ascii="Arial" w:cs="Arial" w:eastAsia="Arial" w:hAnsi="Arial"/>
          <w:sz w:val="22"/>
          <w:szCs w:val="22"/>
        </w:rPr>
        <w:t xml:space="preserve">NEXT_PUBLIC_SUPABASE_URL — Supabase project URL</w:t>
      </w:r>
    </w:p>
    <w:p>
      <w:pPr>
        <w:pStyle w:val="ListParagraph"/>
        <w:numPr>
          <w:ilvl w:val="0"/>
          <w:numId w:val="2"/>
        </w:numPr>
        <w:spacing w:after="60"/>
      </w:pPr>
      <w:r>
        <w:rPr>
          <w:rFonts w:ascii="Arial" w:cs="Arial" w:eastAsia="Arial" w:hAnsi="Arial"/>
          <w:sz w:val="22"/>
          <w:szCs w:val="22"/>
        </w:rPr>
        <w:t xml:space="preserve">SUPABASE_SERVICE_ROLE_KEY — Supabase service role key</w:t>
      </w:r>
    </w:p>
    <w:p>
      <w:pPr>
        <w:pStyle w:val="ListParagraph"/>
        <w:numPr>
          <w:ilvl w:val="0"/>
          <w:numId w:val="2"/>
        </w:numPr>
        <w:spacing w:after="60"/>
      </w:pPr>
      <w:r>
        <w:rPr>
          <w:rFonts w:ascii="Arial" w:cs="Arial" w:eastAsia="Arial" w:hAnsi="Arial"/>
          <w:sz w:val="22"/>
          <w:szCs w:val="22"/>
        </w:rPr>
        <w:t xml:space="preserve">BROWSERLESS_API_KEY — Browserless API key for web scraping</w:t>
      </w:r>
    </w:p>
    <w:p>
      <w:pPr>
        <w:pStyle w:val="ListParagraph"/>
        <w:numPr>
          <w:ilvl w:val="0"/>
          <w:numId w:val="2"/>
        </w:numPr>
        <w:spacing w:after="60"/>
      </w:pPr>
      <w:r>
        <w:rPr>
          <w:rFonts w:ascii="Arial" w:cs="Arial" w:eastAsia="Arial" w:hAnsi="Arial"/>
          <w:sz w:val="22"/>
          <w:szCs w:val="22"/>
        </w:rPr>
        <w:t xml:space="preserve">AETNA_CLIENT_ID — Aetna FHIR OAuth2 client ID</w:t>
      </w:r>
    </w:p>
    <w:p>
      <w:pPr>
        <w:pStyle w:val="ListParagraph"/>
        <w:numPr>
          <w:ilvl w:val="0"/>
          <w:numId w:val="2"/>
        </w:numPr>
        <w:spacing w:after="60"/>
      </w:pPr>
      <w:r>
        <w:rPr>
          <w:rFonts w:ascii="Arial" w:cs="Arial" w:eastAsia="Arial" w:hAnsi="Arial"/>
          <w:sz w:val="22"/>
          <w:szCs w:val="22"/>
        </w:rPr>
        <w:t xml:space="preserve">AETNA_CLIENT_SECRET — Aetna FHIR OAuth2 client secret</w:t>
      </w:r>
    </w:p>
    <w:p>
      <w:pPr>
        <w:spacing w:after="120"/>
      </w:pPr>
      <w:r>
        <w:rPr>
          <w:rFonts w:ascii="Arial" w:cs="Arial" w:eastAsia="Arial" w:hAnsi="Arial"/>
          <w:sz w:val="22"/>
          <w:szCs w:val="22"/>
        </w:rPr>
        <w:t xml:space="preserve">Additional env vars may be set in Vercel dashboard (Stripe keys, Resend API key, etc.) that are not in .env.local.</w:t>
      </w:r>
    </w:p>
    <w:p>
      <w:pPr>
        <w:pStyle w:val="Heading2"/>
      </w:pPr>
      <w:r>
        <w:t xml:space="preserve">Deployment Pipeline</w:t>
      </w:r>
    </w:p>
    <w:p>
      <w:pPr>
        <w:pStyle w:val="ListParagraph"/>
        <w:numPr>
          <w:ilvl w:val="0"/>
          <w:numId w:val="2"/>
        </w:numPr>
        <w:spacing w:after="60"/>
      </w:pPr>
      <w:r>
        <w:rPr>
          <w:rFonts w:ascii="Arial" w:cs="Arial" w:eastAsia="Arial" w:hAnsi="Arial"/>
          <w:sz w:val="22"/>
          <w:szCs w:val="22"/>
        </w:rPr>
        <w:t xml:space="preserve">Repository: github.com/kairologic/Claude-project (public)</w:t>
      </w:r>
    </w:p>
    <w:p>
      <w:pPr>
        <w:pStyle w:val="ListParagraph"/>
        <w:numPr>
          <w:ilvl w:val="0"/>
          <w:numId w:val="2"/>
        </w:numPr>
        <w:spacing w:after="60"/>
      </w:pPr>
      <w:r>
        <w:rPr>
          <w:rFonts w:ascii="Arial" w:cs="Arial" w:eastAsia="Arial" w:hAnsi="Arial"/>
          <w:sz w:val="22"/>
          <w:szCs w:val="22"/>
        </w:rPr>
        <w:t xml:space="preserve">Branch: main (single branch)</w:t>
      </w:r>
    </w:p>
    <w:p>
      <w:pPr>
        <w:pStyle w:val="ListParagraph"/>
        <w:numPr>
          <w:ilvl w:val="0"/>
          <w:numId w:val="2"/>
        </w:numPr>
        <w:spacing w:after="60"/>
      </w:pPr>
      <w:r>
        <w:rPr>
          <w:rFonts w:ascii="Arial" w:cs="Arial" w:eastAsia="Arial" w:hAnsi="Arial"/>
          <w:sz w:val="22"/>
          <w:szCs w:val="22"/>
        </w:rPr>
        <w:t xml:space="preserve">Hosting: Vercel project “claude-project”, team “ravi’s projects”</w:t>
      </w:r>
    </w:p>
    <w:p>
      <w:pPr>
        <w:pStyle w:val="ListParagraph"/>
        <w:numPr>
          <w:ilvl w:val="0"/>
          <w:numId w:val="2"/>
        </w:numPr>
        <w:spacing w:after="60"/>
      </w:pPr>
      <w:r>
        <w:rPr>
          <w:rFonts w:ascii="Arial" w:cs="Arial" w:eastAsia="Arial" w:hAnsi="Arial"/>
          <w:sz w:val="22"/>
          <w:szCs w:val="22"/>
        </w:rPr>
        <w:t xml:space="preserve">Domain: kairologic.net (custom domain on Vercel)</w:t>
      </w:r>
    </w:p>
    <w:p>
      <w:pPr>
        <w:pStyle w:val="ListParagraph"/>
        <w:numPr>
          <w:ilvl w:val="0"/>
          <w:numId w:val="2"/>
        </w:numPr>
        <w:spacing w:after="60"/>
      </w:pPr>
      <w:r>
        <w:rPr>
          <w:rFonts w:ascii="Arial" w:cs="Arial" w:eastAsia="Arial" w:hAnsi="Arial"/>
          <w:sz w:val="22"/>
          <w:szCs w:val="22"/>
        </w:rPr>
        <w:t xml:space="preserve">Auto-deploy: every push to main triggers a Vercel production deployment</w:t>
      </w:r>
    </w:p>
    <w:p>
      <w:pPr>
        <w:pStyle w:val="ListParagraph"/>
        <w:numPr>
          <w:ilvl w:val="0"/>
          <w:numId w:val="2"/>
        </w:numPr>
        <w:spacing w:after="60"/>
      </w:pPr>
      <w:r>
        <w:rPr>
          <w:rFonts w:ascii="Arial" w:cs="Arial" w:eastAsia="Arial" w:hAnsi="Arial"/>
          <w:sz w:val="22"/>
          <w:szCs w:val="22"/>
        </w:rPr>
        <w:t xml:space="preserve">Build: Next.js 14.2.18 with ~74 static pages, ~30s build time</w:t>
      </w:r>
    </w:p>
    <w:p>
      <w:pPr>
        <w:pStyle w:val="Heading2"/>
      </w:pPr>
      <w:r>
        <w:t xml:space="preserve">Latest Deployment</w:t>
      </w:r>
    </w:p>
    <w:p>
      <w:pPr>
        <w:spacing w:after="120"/>
      </w:pPr>
      <w:r>
        <w:rPr>
          <w:rFonts w:ascii="Arial" w:cs="Arial" w:eastAsia="Arial" w:hAnsi="Arial"/>
          <w:sz w:val="22"/>
          <w:szCs w:val="22"/>
        </w:rPr>
        <w:t xml:space="preserve">Commit: 973cf0c — “Nav restructure + Platform, Solutions, Resources pages”</w:t>
      </w:r>
    </w:p>
    <w:p>
      <w:pPr>
        <w:spacing w:after="120"/>
      </w:pPr>
      <w:r>
        <w:rPr>
          <w:rFonts w:ascii="Arial" w:cs="Arial" w:eastAsia="Arial" w:hAnsi="Arial"/>
          <w:sz w:val="22"/>
          <w:szCs w:val="22"/>
        </w:rPr>
        <w:t xml:space="preserve">State: READY (deployed successfully)</w:t>
      </w:r>
    </w:p>
    <w:p>
      <w:pPr>
        <w:spacing w:after="120"/>
      </w:pPr>
      <w:r>
        <w:rPr>
          <w:rFonts w:ascii="Arial" w:cs="Arial" w:eastAsia="Arial" w:hAnsi="Arial"/>
          <w:sz w:val="22"/>
          <w:szCs w:val="22"/>
        </w:rPr>
        <w:t xml:space="preserve">Aliases: kairologic.net, claude-project-rosy.vercel.app</w:t>
      </w:r>
    </w:p>
    <w:p>
      <w:r>
        <w:br w:type="page"/>
      </w:r>
    </w:p>
    <w:p>
      <w:pPr>
        <w:pStyle w:val="Heading1"/>
      </w:pPr>
      <w:r>
        <w:t xml:space="preserve">9. Key Design Decisions</w:t>
      </w:r>
    </w:p>
    <w:p>
      <w:pPr>
        <w:spacing w:after="120"/>
      </w:pPr>
      <w:r>
        <w:rPr>
          <w:rFonts w:ascii="Arial" w:cs="Arial" w:eastAsia="Arial" w:hAnsi="Arial"/>
          <w:b/>
          <w:bCs/>
          <w:sz w:val="22"/>
          <w:szCs w:val="22"/>
        </w:rPr>
        <w:t xml:space="preserve">Product-Led, Risk-Anchored Homepage</w:t>
      </w:r>
    </w:p>
    <w:p>
      <w:pPr>
        <w:spacing w:after="120"/>
      </w:pPr>
      <w:r>
        <w:rPr>
          <w:rFonts w:ascii="Arial" w:cs="Arial" w:eastAsia="Arial" w:hAnsi="Arial"/>
          <w:sz w:val="22"/>
          <w:szCs w:val="22"/>
        </w:rPr>
        <w:t xml:space="preserve">The homepage leads with provider data risks (address drift, compliance gaps, credentialing complexity) rather than feature lists. Each scenario card shows a trigger event and how KairoLogic responds. This positions the product as solving real, urgent problems.</w:t>
      </w:r>
    </w:p>
    <w:p>
      <w:pPr>
        <w:spacing w:after="120"/>
      </w:pPr>
      <w:r>
        <w:rPr>
          <w:rFonts w:ascii="Arial" w:cs="Arial" w:eastAsia="Arial" w:hAnsi="Arial"/>
          <w:b/>
          <w:bCs/>
          <w:sz w:val="22"/>
          <w:szCs w:val="22"/>
        </w:rPr>
        <w:t xml:space="preserve">Secret Sauce Protection</w:t>
      </w:r>
    </w:p>
    <w:p>
      <w:pPr>
        <w:spacing w:after="120"/>
      </w:pPr>
      <w:r>
        <w:rPr>
          <w:rFonts w:ascii="Arial" w:cs="Arial" w:eastAsia="Arial" w:hAnsi="Arial"/>
          <w:sz w:val="22"/>
          <w:szCs w:val="22"/>
        </w:rPr>
        <w:t xml:space="preserve">The platform page shows what users see and do in the dashboard, but deliberately avoids explaining how data is joined across NPPES, payer directories, practice websites, and state boards. The data integration methodology is the competitive advantage.</w:t>
      </w:r>
    </w:p>
    <w:p>
      <w:pPr>
        <w:spacing w:after="120"/>
      </w:pPr>
      <w:r>
        <w:rPr>
          <w:rFonts w:ascii="Arial" w:cs="Arial" w:eastAsia="Arial" w:hAnsi="Arial"/>
          <w:b/>
          <w:bCs/>
          <w:sz w:val="22"/>
          <w:szCs w:val="22"/>
        </w:rPr>
        <w:t xml:space="preserve">Non-Scary Compliance Positioning</w:t>
      </w:r>
    </w:p>
    <w:p>
      <w:pPr>
        <w:spacing w:after="120"/>
      </w:pPr>
      <w:r>
        <w:rPr>
          <w:rFonts w:ascii="Arial" w:cs="Arial" w:eastAsia="Arial" w:hAnsi="Arial"/>
          <w:sz w:val="22"/>
          <w:szCs w:val="22"/>
        </w:rPr>
        <w:t xml:space="preserve">The compliance page was rebuilt to avoid penalty-focused scare tactics. Instead it positions compliance as “one feature of the platform” — something that runs automatically in the background. Regulations are presented informationally, not as threats.</w:t>
      </w:r>
    </w:p>
    <w:p>
      <w:pPr>
        <w:spacing w:after="120"/>
      </w:pPr>
      <w:r>
        <w:rPr>
          <w:rFonts w:ascii="Arial" w:cs="Arial" w:eastAsia="Arial" w:hAnsi="Arial"/>
          <w:b/>
          <w:bCs/>
          <w:sz w:val="22"/>
          <w:szCs w:val="22"/>
        </w:rPr>
        <w:t xml:space="preserve">Trial-First CTA Strategy</w:t>
      </w:r>
    </w:p>
    <w:p>
      <w:pPr>
        <w:spacing w:after="120"/>
      </w:pPr>
      <w:r>
        <w:rPr>
          <w:rFonts w:ascii="Arial" w:cs="Arial" w:eastAsia="Arial" w:hAnsi="Arial"/>
          <w:sz w:val="22"/>
          <w:szCs w:val="22"/>
        </w:rPr>
        <w:t xml:space="preserve">After multiple iterations, the CTA strategy settled on: “Get Started” as the homepage primary CTA (warm, low-commitment), “Get Free Trial →” as the persistent nav button (specific, always visible), and “Watch a Demo” as a secondary action throughout.</w:t>
      </w:r>
    </w:p>
    <w:p>
      <w:pPr>
        <w:spacing w:after="120"/>
      </w:pPr>
      <w:r>
        <w:rPr>
          <w:rFonts w:ascii="Arial" w:cs="Arial" w:eastAsia="Arial" w:hAnsi="Arial"/>
          <w:b/>
          <w:bCs/>
          <w:sz w:val="22"/>
          <w:szCs w:val="22"/>
        </w:rPr>
        <w:t xml:space="preserve">Audience Segmentation</w:t>
      </w:r>
    </w:p>
    <w:p>
      <w:pPr>
        <w:spacing w:after="120"/>
      </w:pPr>
      <w:r>
        <w:rPr>
          <w:rFonts w:ascii="Arial" w:cs="Arial" w:eastAsia="Arial" w:hAnsi="Arial"/>
          <w:sz w:val="22"/>
          <w:szCs w:val="22"/>
        </w:rPr>
        <w:t xml:space="preserve">Three distinct audience tiers on the solutions page: small practices (1–40 providers) who need simplicity, CVOs who need verification speed, and health systems (40+) who need API access and multi-site intelligence. Each segment has different benefits and messaging.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KairoLogic Context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E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E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2026-03-24T01:24:41.050Z</dcterms:created>
  <dcterms:modified xsi:type="dcterms:W3CDTF">2026-03-24T01:24:41.050Z</dcterms:modified>
</cp:coreProperties>
</file>

<file path=docProps/custom.xml><?xml version="1.0" encoding="utf-8"?>
<Properties xmlns="http://schemas.openxmlformats.org/officeDocument/2006/custom-properties" xmlns:vt="http://schemas.openxmlformats.org/officeDocument/2006/docPropsVTypes"/>
</file>