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Payer Directory Sync</w:t>
      </w:r>
    </w:p>
    <w:p>
      <w:pPr>
        <w:spacing w:after="100"/>
        <w:jc w:val="center"/>
      </w:pPr>
      <w:r>
        <w:rPr>
          <w:rFonts w:ascii="Arial" w:cs="Arial" w:eastAsia="Arial" w:hAnsi="Arial"/>
          <w:color w:val="2C3E50"/>
          <w:sz w:val="32"/>
          <w:szCs w:val="32"/>
        </w:rPr>
        <w:t xml:space="preserve">Findings, Gap Analysis &amp; Validation Plan</w:t>
      </w:r>
    </w:p>
    <w:p>
      <w:pPr>
        <w:pBdr>
          <w:bottom w:val="single" w:color="1B4F72" w:sz="8" w:space="1"/>
        </w:pBdr>
        <w:spacing w:after="400"/>
        <w:jc w:val="center"/>
      </w:pPr>
    </w:p>
    <w:p>
      <w:pPr>
        <w:spacing w:after="80"/>
        <w:jc w:val="center"/>
      </w:pPr>
      <w:r>
        <w:rPr>
          <w:rFonts w:ascii="Arial" w:cs="Arial" w:eastAsia="Arial" w:hAnsi="Arial"/>
          <w:color w:val="2C3E50"/>
          <w:sz w:val="24"/>
          <w:szCs w:val="24"/>
        </w:rPr>
        <w:t xml:space="preserve">Test Case: Brushy Creek Family Physicians PA</w:t>
      </w:r>
    </w:p>
    <w:p>
      <w:pPr>
        <w:spacing w:after="80"/>
        <w:jc w:val="center"/>
      </w:pPr>
      <w:r>
        <w:rPr>
          <w:rFonts w:ascii="Arial" w:cs="Arial" w:eastAsia="Arial" w:hAnsi="Arial"/>
          <w:color w:val="7F8C8D"/>
          <w:sz w:val="22"/>
          <w:szCs w:val="22"/>
        </w:rPr>
        <w:t xml:space="preserve">20 Active Providers • 4 Payer Directories</w:t>
      </w:r>
    </w:p>
    <w:p>
      <w:pPr>
        <w:spacing w:after="80"/>
        <w:jc w:val="center"/>
      </w:pPr>
      <w:r>
        <w:rPr>
          <w:rFonts w:ascii="Arial" w:cs="Arial" w:eastAsia="Arial" w:hAnsi="Arial"/>
          <w:color w:val="7F8C8D"/>
          <w:sz w:val="22"/>
          <w:szCs w:val="22"/>
        </w:rPr>
        <w:t xml:space="preserve">March 29, 2026</w:t>
      </w:r>
    </w:p>
    <w:p>
      <w:r>
        <w:br w:type="page"/>
      </w:r>
    </w:p>
    <w:p>
      <w:pPr>
        <w:pStyle w:val="Heading1"/>
      </w:pPr>
      <w:r>
        <w:t xml:space="preserve">1. What We Tested</w:t>
      </w:r>
    </w:p>
    <w:p>
      <w:pPr>
        <w:spacing w:after="200"/>
      </w:pPr>
      <w:r>
        <w:t xml:space="preserve">We tested the accuracy of payer directory sync data shown in the admin portal by building a baseline directly from NPPES records and live payer FHIR endpoints, then comparing that baseline to what our code produces. The test case was Brushy Creek Family Physicians PA with 5 sample providers across 4 payer directories (Aetna, Cigna, UHC, Humana).</w:t>
      </w:r>
    </w:p>
    <w:p>
      <w:pPr>
        <w:pStyle w:val="Heading2"/>
      </w:pPr>
      <w:r>
        <w:t xml:space="preserve">Sample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2360"/>
        <w:gridCol w:w="200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NPI</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Credential</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Specialty</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Phone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1245420108</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Steven Daniel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Family Medicine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512-244-1995</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1063489102</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Trevor Turner</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MD</w:t>
            </w:r>
          </w:p>
        </w:tc>
        <w:tc>
          <w:tcPr>
            <w:tcW w:type="dxa" w:w="2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Internal Medicine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512-218-8696</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1801919881</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Andy Hawthorne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MD</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Plastic Surgery</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512-244-0111</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1669474623</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Flint Deshazo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MD</w:t>
            </w:r>
          </w:p>
        </w:tc>
        <w:tc>
          <w:tcPr>
            <w:tcW w:type="dxa" w:w="2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Family Medicine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512-244-1995</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1801865142</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Chad Long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MD</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Internal Medicine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512-244-2273</w:t>
            </w:r>
          </w:p>
        </w:tc>
      </w:tr>
    </w:tbl>
    <w:p>
      <w:pPr>
        <w:spacing w:after="200"/>
      </w:pPr>
    </w:p>
    <w:p>
      <w:pPr>
        <w:pStyle w:val="Heading1"/>
      </w:pPr>
      <w:r>
        <w:t xml:space="preserve">2. Baseline Results (Live Payer Data)</w:t>
      </w:r>
    </w:p>
    <w:p>
      <w:pPr>
        <w:spacing w:after="200"/>
      </w:pPr>
      <w:r>
        <w:t xml:space="preserve">Each payer endpoint was queried directly from Chrome to establish ground truth, independent of our code.</w:t>
      </w:r>
    </w:p>
    <w:p>
      <w:pPr>
        <w:pStyle w:val="Heading2"/>
      </w:pPr>
      <w:r>
        <w:t xml:space="preserve">Humana — FHIR Endpoint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560"/>
        <w:gridCol w:w="16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NPI</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Humana FHIR</w:t>
            </w:r>
          </w:p>
        </w:tc>
        <w:tc>
          <w:tcPr>
            <w:tcW w:type="dxa" w:w="1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Our DB</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Steven Daniel</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1245420108</w:t>
            </w:r>
          </w:p>
        </w:tc>
        <w:tc>
          <w:tcPr>
            <w:tcW w:type="dxa" w:w="18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FOUND ✓</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Listed</w:t>
            </w:r>
          </w:p>
        </w:tc>
        <w:tc>
          <w:tcPr>
            <w:tcW w:type="dxa" w:w="1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TRUE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Trevor Turner</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1063489102</w:t>
            </w:r>
          </w:p>
        </w:tc>
        <w:tc>
          <w:tcPr>
            <w:tcW w:type="dxa" w:w="18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NOT FOUND</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Listed</w:t>
            </w:r>
          </w:p>
        </w:tc>
        <w:tc>
          <w:tcPr>
            <w:tcW w:type="dxa" w:w="1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TRUE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Andy Hawthorne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1801919881</w:t>
            </w:r>
          </w:p>
        </w:tc>
        <w:tc>
          <w:tcPr>
            <w:tcW w:type="dxa" w:w="18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FOUND ✓</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Listed</w:t>
            </w:r>
          </w:p>
        </w:tc>
        <w:tc>
          <w:tcPr>
            <w:tcW w:type="dxa" w:w="1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TRUE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Flint Deshazo</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1669474623</w:t>
            </w:r>
          </w:p>
        </w:tc>
        <w:tc>
          <w:tcPr>
            <w:tcW w:type="dxa" w:w="18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FOUND ✓</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Listed</w:t>
            </w:r>
          </w:p>
        </w:tc>
        <w:tc>
          <w:tcPr>
            <w:tcW w:type="dxa" w:w="1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TRUE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Chad Long</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1801865142</w:t>
            </w:r>
          </w:p>
        </w:tc>
        <w:tc>
          <w:tcPr>
            <w:tcW w:type="dxa" w:w="18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FOUND ✓</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Listed</w:t>
            </w:r>
          </w:p>
        </w:tc>
        <w:tc>
          <w:tcPr>
            <w:tcW w:type="dxa" w:w="1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TRUE</w:t>
            </w:r>
          </w:p>
        </w:tc>
      </w:tr>
    </w:tbl>
    <w:p>
      <w:pPr>
        <w:spacing w:after="120"/>
      </w:pPr>
      <w:r>
        <w:rPr>
          <w:i/>
          <w:iCs/>
          <w:color w:val="27AE60"/>
          <w:sz w:val="20"/>
          <w:szCs w:val="20"/>
        </w:rPr>
        <w:t xml:space="preserve">Humana: 5/5 baseline match. No issues.</w:t>
      </w:r>
    </w:p>
    <w:p>
      <w:pPr>
        <w:spacing w:after="200"/>
      </w:pPr>
    </w:p>
    <w:p>
      <w:pPr>
        <w:pStyle w:val="Heading2"/>
      </w:pPr>
      <w:r>
        <w:t xml:space="preserve">Aetna, Cigna, UHC — Endpoint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Payer</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Live FHIR Result</w:t>
            </w:r>
          </w:p>
        </w:tc>
        <w:tc>
          <w:tcPr>
            <w:tcW w:type="dxa" w:w="2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Our DB (All 5 NPIs)</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Aetna</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401 Unauthorized</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All show NOT LISTED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OAuth credentials expired/invalid</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Cigna</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400: identifier param not supported</w:t>
            </w:r>
          </w:p>
        </w:tc>
        <w:tc>
          <w:tcPr>
            <w:tcW w:type="dxa" w:w="2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All 20 show NOT LISTED</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Cigna only supports name search</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UHC</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400: Bad Request (Tomcat)</w:t>
            </w:r>
          </w:p>
        </w:tc>
        <w:tc>
          <w:tcPr>
            <w:tcW w:type="dxa" w:w="2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All show NOT LISTED</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Wrong base URL in our config</w:t>
            </w:r>
          </w:p>
        </w:tc>
      </w:tr>
    </w:tbl>
    <w:p>
      <w:pPr>
        <w:spacing w:after="120"/>
      </w:pPr>
      <w:r>
        <w:rPr>
          <w:i/>
          <w:iCs/>
          <w:sz w:val="20"/>
          <w:szCs w:val="20"/>
        </w:rPr>
        <w:t xml:space="preserve">Manual verification: Steven Daniel confirmed listed on Aetna via health.aetna.com (user verified).</w:t>
      </w:r>
    </w:p>
    <w:p>
      <w:pPr>
        <w:spacing w:after="200"/>
      </w:pPr>
    </w:p>
    <w:p>
      <w:r>
        <w:br w:type="page"/>
      </w:r>
    </w:p>
    <w:p>
      <w:pPr>
        <w:pStyle w:val="Heading1"/>
      </w:pPr>
      <w:r>
        <w:t xml:space="preserve">3. Bugs Found &amp; Fixes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360"/>
        <w:gridCol w:w="1200"/>
        <w:gridCol w:w="1400"/>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Bug</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HTTP 400 treated as “not in directory”</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UHC/Cigna errors silently counted as “not listed”, producing false negatives for all providers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fhir-client</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FIXED</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Cigna doesn’t support identifier search</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Cigna lookups returned 400; every provider marked not listed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fhir-client</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FIXED</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UHC base URL was wrong</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public.fhir.flex.optum.com/R4 returns 400; correct URL is flex.optum.com/fhirpublic/R4</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DB config</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FIXED</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acceptance-gap-detector queries non-existent column</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listed_status column doesn’t exist; should use fhir_practitioner_id IS NULL</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gap-detector</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FIXED</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Batch sync doesn’t skip failed payers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Auth failure on first provider wastes requests on remaining 19; no failedPayers tracking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sync-batch</w:t>
            </w:r>
          </w:p>
        </w:tc>
        <w:tc>
          <w:tcPr>
            <w:tcW w:type="dxa" w:w="14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FIXED</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Aetna OAuth token acquisition failing</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Credentials may be expired; all Aetna lookups return 401</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DB creds</w:t>
            </w:r>
          </w:p>
        </w:tc>
        <w:tc>
          <w:tcPr>
            <w:tcW w:type="dxa" w:w="14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NEEDS CREDS</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accepted_payers is NULL for all practices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Scanner crawl depth (3 pages) too shallow; never reaches insurance/billing pages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scanner</w:t>
            </w:r>
          </w:p>
        </w:tc>
        <w:tc>
          <w:tcPr>
            <w:tcW w:type="dxa" w:w="14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NEEDS CREDS</w:t>
            </w:r>
          </w:p>
        </w:tc>
      </w:tr>
    </w:tbl>
    <w:p>
      <w:pPr>
        <w:spacing w:after="200"/>
      </w:pPr>
    </w:p>
    <w:p>
      <w:pPr>
        <w:pStyle w:val="Heading1"/>
      </w:pPr>
      <w:r>
        <w:t xml:space="preserve">4. Architectural Gap Identified</w:t>
      </w:r>
    </w:p>
    <w:p>
      <w:pPr>
        <w:spacing w:after="160"/>
      </w:pPr>
      <w:r>
        <w:t xml:space="preserve">Beyond endpoint bugs, we identified a fundamental gap in our data model: the system has no reliable way to know which payers a practice accepts. This breaks the entire acceptance gap pipeline.</w:t>
      </w:r>
    </w:p>
    <w:p>
      <w:pPr>
        <w:pStyle w:val="Heading2"/>
      </w:pPr>
      <w:r>
        <w:t xml:space="preserve">The Missing Logic Chain</w:t>
      </w:r>
    </w:p>
    <w:p>
      <w:pPr>
        <w:spacing w:after="120"/>
      </w:pPr>
      <w:r>
        <w:rPr>
          <w:b/>
          <w:bCs/>
        </w:rPr>
        <w:t xml:space="preserve">Required: </w:t>
      </w:r>
      <w:r>
        <w:t xml:space="preserve">Provider → belongs to → Practice(s) → Practice accepts → Payer(s) → Provider should appear in Payer directory</w:t>
      </w:r>
    </w:p>
    <w:p>
      <w:pPr>
        <w:spacing w:after="120"/>
      </w:pPr>
      <w:r>
        <w:rPr>
          <w:b/>
          <w:bCs/>
        </w:rPr>
        <w:t xml:space="preserve">Current: </w:t>
      </w:r>
      <w:r>
        <w:t xml:space="preserve">Provider → Practice mapping exists (many-to-many, working). But accepted_payers = NULL everywhere. No data source populating it.</w:t>
      </w:r>
    </w:p>
    <w:p>
      <w:pPr>
        <w:spacing w:after="200"/>
      </w:pPr>
      <w:r>
        <w:rPr>
          <w:b/>
          <w:bCs/>
        </w:rPr>
        <w:t xml:space="preserve">Example: </w:t>
      </w:r>
      <w:r>
        <w:t xml:space="preserve">Chad Long (NPI 1801865142) is active at both Brushy Creek Family Physicians and Wyoming Springs Pediatrics. He also practices at Austin Gastroenterology, which lists Aetna as accepted. He should therefore appear in Aetna’s directory — but our system can’t make this connection because accepted_payers is empty.</w:t>
      </w:r>
    </w:p>
    <w:p>
      <w:pPr>
        <w:pStyle w:val="Heading1"/>
      </w:pPr>
      <w:r>
        <w:t xml:space="preserve">5. Proposed Dashboard Signal Design</w:t>
      </w:r>
    </w:p>
    <w:p>
      <w:pPr>
        <w:spacing w:after="160"/>
      </w:pPr>
      <w:r>
        <w:t xml:space="preserve">The payer directory check produces a signal that is valuable but uncertain (plan/network complexity, data lag). The dashboard must present it as a “worth checking” signal, not a verdict.</w:t>
      </w:r>
    </w:p>
    <w:p>
      <w:pPr>
        <w:pStyle w:val="Heading2"/>
      </w:pPr>
      <w:r>
        <w:t xml:space="preserve">Aggregated Payer Summary (Dashboard View)</w:t>
      </w:r>
    </w:p>
    <w:p>
      <w:pPr>
        <w:spacing w:after="120"/>
      </w:pPr>
      <w:r>
        <w:t xml:space="preserve">Instead of showing individual provider-payer mismatches (which could be 80+ rows), aggregate to one line per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60"/>
        <w:gridCol w:w="220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Payer</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Verified Providers</w:t>
            </w:r>
          </w:p>
        </w:tc>
        <w:tc>
          <w:tcPr>
            <w:tcW w:type="dxa" w:w="2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Needs Review</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Humana</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19 of 20 verified</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1 may need review</w:t>
            </w:r>
          </w:p>
        </w:tc>
        <w:tc>
          <w:tcPr>
            <w:tcW w:type="dxa" w:w="2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WORKING ✓</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Cigna</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18 of 20 verified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F39C12"/>
                <w:sz w:val="20"/>
                <w:szCs w:val="20"/>
              </w:rPr>
              <w:t xml:space="preserve">2 may need review</w:t>
            </w:r>
          </w:p>
        </w:tc>
        <w:tc>
          <w:tcPr>
            <w:tcW w:type="dxa" w:w="22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CODE FIXED</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UHC</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17 of 20 verified</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3 may need review</w:t>
            </w:r>
          </w:p>
        </w:tc>
        <w:tc>
          <w:tcPr>
            <w:tcW w:type="dxa" w:w="22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20"/>
                <w:szCs w:val="20"/>
              </w:rPr>
              <w:t xml:space="preserve">URL CORRECTED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Aetna</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7F8C8D"/>
                <w:sz w:val="20"/>
                <w:szCs w:val="20"/>
              </w:rPr>
              <w:t xml:space="preserve">Unable to verify</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2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NEEDS CREDS</w:t>
            </w:r>
          </w:p>
        </w:tc>
      </w:tr>
    </w:tbl>
    <w:p>
      <w:pPr>
        <w:spacing w:after="120"/>
      </w:pPr>
      <w:r>
        <w:rPr>
          <w:i/>
          <w:iCs/>
          <w:color w:val="7F8C8D"/>
          <w:sz w:val="18"/>
          <w:szCs w:val="18"/>
        </w:rPr>
        <w:t xml:space="preserve">Example only — numbers are illustrative pending re-sync with fixed endpoints.</w:t>
      </w:r>
    </w:p>
    <w:p>
      <w:pPr>
        <w:spacing w:after="200"/>
      </w:pPr>
    </w:p>
    <w:p>
      <w:pPr>
        <w:pStyle w:val="Heading2"/>
      </w:pPr>
      <w:r>
        <w:t xml:space="preserve">Signal States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560"/>
        <w:gridCol w:w="3200"/>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Verified</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Provider confirmed in payer directory via FHIR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Needs Verification</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Practice accepts payer but provider not found in directory</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Practice verifies on payer’s Find a Doctor</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Pending Correction</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Practice confirmed gap; correction submitted to payer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System re-checks on each sync cycle</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Follow Up Required</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3+ sync cycles post-correction, still not listed</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Contact payer provider relations</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Dismissed</w:t>
            </w:r>
          </w:p>
        </w:tc>
        <w:tc>
          <w:tcPr>
            <w:tcW w:type="dxa" w:w="3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Practice confirmed: not applicable (plan-specific)</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Hidden/archived</w:t>
            </w:r>
          </w:p>
        </w:tc>
      </w:tr>
      <w:tr>
        <w:tc>
          <w:tcPr>
            <w:tcW w:type="dxa" w:w="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Directory Removal</w:t>
            </w:r>
          </w:p>
        </w:tc>
        <w:tc>
          <w:tcPr>
            <w:tcW w:type="dxa" w:w="3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Was previously listed, now disappeared (ghost network risk)</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Urgent — contact payer immediately</w:t>
            </w:r>
          </w:p>
        </w:tc>
      </w:tr>
    </w:tbl>
    <w:p>
      <w:pPr>
        <w:spacing w:after="200"/>
      </w:pPr>
    </w:p>
    <w:p>
      <w:r>
        <w:br w:type="page"/>
      </w:r>
    </w:p>
    <w:p>
      <w:pPr>
        <w:pStyle w:val="Heading1"/>
      </w:pPr>
      <w:r>
        <w:t xml:space="preserve">6. Complete Dashboard Signal Pipeline</w:t>
      </w:r>
    </w:p>
    <w:p>
      <w:pPr>
        <w:spacing w:after="160"/>
      </w:pPr>
      <w:r>
        <w:t xml:space="preserve">The payer directory check is one of four signal categories the scanner produces. All must work together for the dashboard to deliver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400"/>
        <w:gridCol w:w="2360"/>
        <w:gridCol w:w="2400"/>
      </w:tblGrid>
      <w:tr>
        <w:tc>
          <w:tcPr>
            <w:tcW w:type="dxa" w:w="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7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2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Gap</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License / Regulator Issues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TMB newsroom monitor detects suspensions, revocations, restrictions within ~7 days of board action</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Working — Texas only</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 other state boards implemented. Only covers TX providers.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Payer Directory Gaps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FHIR API queries against Aetna, Cigna, UHC, Humana directories. Compares against practice-claimed payers.</w:t>
            </w:r>
          </w:p>
        </w:tc>
        <w:tc>
          <w:tcPr>
            <w:tcW w:type="dxa" w:w="2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F39C12"/>
                <w:sz w:val="20"/>
                <w:szCs w:val="20"/>
              </w:rPr>
              <w:t xml:space="preserve">3 of 4 endpoints fixed. Aetna needs creds.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accepted_payers is NULL everywhere — no baseline to compare against.</w:t>
            </w:r>
          </w:p>
        </w:tc>
      </w:tr>
      <w:tr>
        <w:tc>
          <w:tcPr>
            <w:tcW w:type="dxa" w:w="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17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Data Mismatches</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Compares website-extracted address, phone, name, specialty against NPPES records.</w:t>
            </w:r>
          </w:p>
        </w:tc>
        <w:tc>
          <w:tcPr>
            <w:tcW w:type="dxa" w:w="2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Working — core value today</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None critical. This is the most reliable signal.</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ℹ️</w:t>
            </w:r>
          </w:p>
        </w:tc>
        <w:tc>
          <w:tcPr>
            <w:tcW w:type="dxa" w:w="1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Provider Departures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Flags providers missing from practice website for 14+ consecutive days.</w:t>
            </w:r>
          </w:p>
        </w:tc>
        <w:tc>
          <w:tcPr>
            <w:tcW w:type="dxa" w:w="2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Working</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Shallow crawl (3 sub-pages) may miss providers listed on deeper pages.</w:t>
            </w:r>
          </w:p>
        </w:tc>
      </w:tr>
    </w:tbl>
    <w:p>
      <w:pPr>
        <w:spacing w:after="200"/>
      </w:pPr>
    </w:p>
    <w:p>
      <w:pPr>
        <w:pStyle w:val="Heading2"/>
      </w:pPr>
      <w:r>
        <w:t xml:space="preserve">Website Scanner: Payer Acceptance Extraction</w:t>
      </w:r>
    </w:p>
    <w:p>
      <w:pPr>
        <w:spacing w:after="120"/>
      </w:pPr>
      <w:r>
        <w:t xml:space="preserve">The scanner has a payer acceptance extractor with 70+ pattern aliases mapping website text to canonical payer codes (uhc, aetna, cigna, humana, bcbs_tx, etc.). It uses two strategies: section-based detection (high confidence, looks for headings like “Insurance Accepted”) and page-wide fallback (lower confidence, requires 3+ matches). It also handles BCBS state disambiguation automatically.</w:t>
      </w:r>
    </w:p>
    <w:p>
      <w:pPr>
        <w:spacing w:after="120"/>
      </w:pPr>
      <w:r>
        <w:rPr>
          <w:b/>
          <w:bCs/>
          <w:color w:val="E74C3C"/>
        </w:rPr>
        <w:t xml:space="preserve">Problem: </w:t>
      </w:r>
      <w:r>
        <w:t xml:space="preserve">maxSubPages is set to 3 — the scanner only crawls 3 pages beyond the homepage. Most practice insurance/billing pages are 2-4 clicks deep. Result: accepted_payers is NULL for all 22 practices in our outreach list.</w:t>
      </w:r>
    </w:p>
    <w:p>
      <w:pPr>
        <w:spacing w:after="200"/>
      </w:pPr>
      <w:r>
        <w:rPr>
          <w:b/>
          <w:bCs/>
          <w:color w:val="27AE60"/>
        </w:rPr>
        <w:t xml:space="preserve">Fix: </w:t>
      </w:r>
      <w:r>
        <w:t xml:space="preserve">Increase maxSubPages and add targeted URL discovery for insurance/billing pages (look for links containing “insurance”, “billing”, “accepted plans” in anchor text). Short term: manually populate accepted_payers for outreach list practices.</w:t>
      </w:r>
    </w:p>
    <w:p>
      <w:pPr>
        <w:pStyle w:val="Heading2"/>
      </w:pPr>
      <w:r>
        <w:t xml:space="preserve">State Regulator / License Monitoring</w:t>
      </w:r>
    </w:p>
    <w:p>
      <w:pPr>
        <w:spacing w:after="120"/>
      </w:pPr>
      <w:r>
        <w:t xml:space="preserve">The TMB (Texas Medical Board) newsroom monitor scrapes press releases for emergency suspensions (detected within ~7 days) and board meeting disciplinary actions. It cross-references license numbers against our provider_licenses table and creates events with specific action types: SUSPENDED, REVOKED, RESTRICTED, PROBATION, REPRIMANDED.</w:t>
      </w:r>
    </w:p>
    <w:p>
      <w:pPr>
        <w:spacing w:after="120"/>
      </w:pPr>
      <w:r>
        <w:rPr>
          <w:b/>
          <w:bCs/>
        </w:rPr>
        <w:t xml:space="preserve">Current coverage: </w:t>
      </w:r>
      <w:r>
        <w:t xml:space="preserve">Texas only. Confidence: 0.98 for emergency suspensions, 0.95 for board actions. Weekly cadence with historical backfill capability (~2 years of TMB data).</w:t>
      </w:r>
    </w:p>
    <w:p>
      <w:pPr>
        <w:spacing w:after="200"/>
      </w:pPr>
      <w:r>
        <w:rPr>
          <w:b/>
          <w:bCs/>
          <w:color w:val="F39C12"/>
        </w:rPr>
        <w:t xml:space="preserve">Expansion needed: </w:t>
      </w:r>
      <w:r>
        <w:t xml:space="preserve">Other state medical boards (priority: states where our tracked practices operate). Dental boards for dental practices. Optometry boards for eye care practices.</w:t>
      </w:r>
    </w:p>
    <w:p>
      <w:pPr>
        <w:pStyle w:val="Heading2"/>
      </w:pPr>
      <w:r>
        <w:t xml:space="preserve">Regulatory &amp; Compliance Signals (Planned)</w:t>
      </w:r>
    </w:p>
    <w:p>
      <w:pPr>
        <w:spacing w:after="120"/>
      </w:pPr>
      <w:r>
        <w:t xml:space="preserve">Beyond payer directories and license status, the dashboard should surface regulatory compliance signals relevant to healthcare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1600"/>
        <w:gridCol w:w="160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3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Disciplinary Actions</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Board disciplinary actions beyond suspensions: fines, practice restrictions, mandatory education, consent orders. TMB + other state boards.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TX partial</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Insurance Acceptance Changes</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Detect when a practice adds or drops a payer. Triggers re-verification of provider directory listings for that payer.</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built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TX State Law Compliance</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Texas-specific requirements: SB 1060 (network adequacy), HB 3459 (surprise billing protections), provider directory accuracy mandates under TDI rules.</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Planned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CA State Law Compliance</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California-specific: SB 137 (provider directory accuracy), Knox-Keene Act requirements, DMHC network adequacy standards.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Planned</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Foreign Routing Detection</w:t>
            </w:r>
          </w:p>
        </w:tc>
        <w:tc>
          <w:tcPr>
            <w:tcW w:type="dxa" w:w="3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Flag when phone numbers or online scheduling systems route to offshore call centers or foreign telehealth providers without proper disclosure.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Not built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AI Usage Disclosure</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Detect undisclosed AI usage in clinical settings per emerging state regulations (CA SB 1120, proposed TX rules). Surface practices that may need AI disclosure policies.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7F8C8D"/>
                <w:sz w:val="20"/>
                <w:szCs w:val="20"/>
              </w:rPr>
              <w:t xml:space="preserve">Low</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Research</w:t>
            </w:r>
          </w:p>
        </w:tc>
      </w:tr>
    </w:tbl>
    <w:p>
      <w:pPr>
        <w:spacing w:after="200"/>
      </w:pPr>
    </w:p>
    <w:p>
      <w:pPr>
        <w:pStyle w:val="Heading2"/>
      </w:pPr>
      <w:r>
        <w:t xml:space="preserve">Signal Priority on Dashboard</w:t>
      </w:r>
    </w:p>
    <w:p>
      <w:pPr>
        <w:spacing w:after="200"/>
      </w:pPr>
      <w:r>
        <w:t xml:space="preserve">Signals should appear in priority order on the dashboard. License suspensions and disciplinary actions are immediate patient safety and compliance concerns. Payer directory gaps and insurance acceptance changes affect patient access and billing. Data mismatches and regulatory compliance are data quality and operational signals. The dashboard should surface the highest-priority signals prominently, with lower-priority signals accessible on drill-down.</w:t>
      </w:r>
    </w:p>
    <w:p>
      <w:r>
        <w:br w:type="page"/>
      </w:r>
    </w:p>
    <w:p>
      <w:pPr>
        <w:pStyle w:val="Heading1"/>
      </w:pPr>
      <w:r>
        <w:t xml:space="preserve">7. Validation Plan — How We Test to 100%</w:t>
      </w:r>
    </w:p>
    <w:p>
      <w:pPr>
        <w:pStyle w:val="Heading2"/>
      </w:pPr>
      <w:r>
        <w:t xml:space="preserve">Phase 1: Fix Endpoints &amp; Re-sync</w:t>
      </w:r>
    </w:p>
    <w:p>
      <w:pPr>
        <w:pStyle w:val="ListParagraph"/>
        <w:numPr>
          <w:ilvl w:val="0"/>
          <w:numId w:val="2"/>
        </w:numPr>
      </w:pPr>
      <w:r>
        <w:rPr>
          <w:b/>
          <w:bCs/>
        </w:rPr>
        <w:t xml:space="preserve">Cigna: </w:t>
      </w:r>
      <w:r>
        <w:t xml:space="preserve">Deploy name-based fallback (family+given search). Re-sync Brushy Creek. Compare against manual Cigna Find a Doctor check for 5 sample NPIs.</w:t>
      </w:r>
    </w:p>
    <w:p>
      <w:pPr>
        <w:pStyle w:val="ListParagraph"/>
        <w:numPr>
          <w:ilvl w:val="0"/>
          <w:numId w:val="2"/>
        </w:numPr>
      </w:pPr>
      <w:r>
        <w:rPr>
          <w:b/>
          <w:bCs/>
        </w:rPr>
        <w:t xml:space="preserve">UHC: </w:t>
      </w:r>
      <w:r>
        <w:t xml:space="preserve">Deploy corrected base URL (flex.optum.com/fhirpublic/R4). Re-sync. Compare against UHC Find a Doctor for 5 sample NPIs.</w:t>
      </w:r>
    </w:p>
    <w:p>
      <w:pPr>
        <w:pStyle w:val="ListParagraph"/>
        <w:numPr>
          <w:ilvl w:val="0"/>
          <w:numId w:val="2"/>
        </w:numPr>
      </w:pPr>
      <w:r>
        <w:rPr>
          <w:b/>
          <w:bCs/>
        </w:rPr>
        <w:t xml:space="preserve">Aetna: </w:t>
      </w:r>
      <w:r>
        <w:t xml:space="preserve">Verify OAuth credentials on Aetna Developer Portal. Regenerate if expired. Re-sync. Compare against Aetna DocFind (user-verified baseline).</w:t>
      </w:r>
    </w:p>
    <w:p>
      <w:pPr>
        <w:pStyle w:val="ListParagraph"/>
        <w:numPr>
          <w:ilvl w:val="0"/>
          <w:numId w:val="2"/>
        </w:numPr>
      </w:pPr>
      <w:r>
        <w:rPr>
          <w:b/>
          <w:bCs/>
        </w:rPr>
        <w:t xml:space="preserve">Humana: </w:t>
      </w:r>
      <w:r>
        <w:t xml:space="preserve">Already passing. Run full 20-provider sync to confirm all match.</w:t>
      </w:r>
    </w:p>
    <w:p>
      <w:pPr>
        <w:spacing w:after="200"/>
      </w:pPr>
    </w:p>
    <w:p>
      <w:pPr>
        <w:pStyle w:val="Heading2"/>
      </w:pPr>
      <w:r>
        <w:t xml:space="preserve">Phase 2: Populate Practice Payer Acceptance</w:t>
      </w:r>
    </w:p>
    <w:p>
      <w:pPr>
        <w:pStyle w:val="ListParagraph"/>
        <w:numPr>
          <w:ilvl w:val="0"/>
          <w:numId w:val="3"/>
        </w:numPr>
      </w:pPr>
      <w:r>
        <w:t xml:space="preserve">Manually enter accepted_payers for Brushy Creek as confirmed baseline (Aetna, Cigna, UHC, Humana, BCBS, Tricare, Medicare, Curative).</w:t>
      </w:r>
    </w:p>
    <w:p>
      <w:pPr>
        <w:pStyle w:val="ListParagraph"/>
        <w:numPr>
          <w:ilvl w:val="0"/>
          <w:numId w:val="3"/>
        </w:numPr>
      </w:pPr>
      <w:r>
        <w:t xml:space="preserve">Run acceptance gap detector with the provider→practice→payer chain logic.</w:t>
      </w:r>
    </w:p>
    <w:p>
      <w:pPr>
        <w:pStyle w:val="ListParagraph"/>
        <w:numPr>
          <w:ilvl w:val="0"/>
          <w:numId w:val="3"/>
        </w:numPr>
      </w:pPr>
      <w:r>
        <w:t xml:space="preserve">Verify the aggregated dashboard view shows correct green/amber ratios per payer.</w:t>
      </w:r>
    </w:p>
    <w:p>
      <w:pPr>
        <w:pStyle w:val="ListParagraph"/>
        <w:numPr>
          <w:ilvl w:val="0"/>
          <w:numId w:val="3"/>
        </w:numPr>
      </w:pPr>
      <w:r>
        <w:t xml:space="preserve">Longer term: increase scanner crawl depth to auto-extract payer acceptance from practice websites.</w:t>
      </w:r>
    </w:p>
    <w:p>
      <w:pPr>
        <w:spacing w:after="200"/>
      </w:pPr>
    </w:p>
    <w:p>
      <w:pPr>
        <w:pStyle w:val="Heading2"/>
      </w:pPr>
      <w:r>
        <w:t xml:space="preserve">Phase 3: Expand &amp; Iterate</w:t>
      </w:r>
    </w:p>
    <w:p>
      <w:pPr>
        <w:pStyle w:val="ListParagraph"/>
        <w:numPr>
          <w:ilvl w:val="0"/>
          <w:numId w:val="4"/>
        </w:numPr>
      </w:pPr>
      <w:r>
        <w:t xml:space="preserve">Pick 3 additional practices with known payer acceptance data. Run full pipeline.</w:t>
      </w:r>
    </w:p>
    <w:p>
      <w:pPr>
        <w:pStyle w:val="ListParagraph"/>
        <w:numPr>
          <w:ilvl w:val="0"/>
          <w:numId w:val="4"/>
        </w:numPr>
      </w:pPr>
      <w:r>
        <w:t xml:space="preserve">Compare results against manual Find a Doctor checks for each payer.</w:t>
      </w:r>
    </w:p>
    <w:p>
      <w:pPr>
        <w:pStyle w:val="ListParagraph"/>
        <w:numPr>
          <w:ilvl w:val="0"/>
          <w:numId w:val="4"/>
        </w:numPr>
      </w:pPr>
      <w:r>
        <w:t xml:space="preserve">Fix any new payer-specific edge cases discovered (different FHIR implementations, additional search parameter quirks).</w:t>
      </w:r>
    </w:p>
    <w:p>
      <w:pPr>
        <w:pStyle w:val="ListParagraph"/>
        <w:numPr>
          <w:ilvl w:val="0"/>
          <w:numId w:val="4"/>
        </w:numPr>
      </w:pPr>
      <w:r>
        <w:t xml:space="preserve">Target: 100% match between our system output and live payer directory data for all verified payer connections.</w:t>
      </w:r>
    </w:p>
    <w:p>
      <w:pPr>
        <w:spacing w:after="200"/>
      </w:pPr>
    </w:p>
    <w:p>
      <w:pPr>
        <w:pStyle w:val="Heading1"/>
      </w:pPr>
      <w:r>
        <w:t xml:space="preserve">8. Summary of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560"/>
        <w:gridCol w:w="160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Payer</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 Issue</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Fix Applied</w:t>
            </w:r>
          </w:p>
        </w:tc>
        <w:tc>
          <w:tcPr>
            <w:tcW w:type="dxa" w:w="1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Reliable?</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Humana</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N/A</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1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WORKING ✓</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Cigna</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identifier search unsupported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Name-based fallback added</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F39C12"/>
                <w:sz w:val="20"/>
                <w:szCs w:val="20"/>
              </w:rPr>
              <w:t xml:space="preserve">Pending test</w:t>
            </w:r>
          </w:p>
        </w:tc>
        <w:tc>
          <w:tcPr>
            <w:tcW w:type="dxa" w:w="16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color w:val="27AE60"/>
                <w:sz w:val="20"/>
                <w:szCs w:val="20"/>
              </w:rPr>
              <w:t xml:space="preserve">CODE FIXED</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UHC</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Wrong base URL</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URL updated in DB</w:t>
            </w:r>
          </w:p>
        </w:tc>
        <w:tc>
          <w:tcPr>
            <w:tcW w:type="dxa" w:w="1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Pending test</w:t>
            </w:r>
          </w:p>
        </w:tc>
        <w:tc>
          <w:tcPr>
            <w:tcW w:type="dxa" w:w="160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b/>
                <w:bCs/>
                <w:color w:val="F39C12"/>
                <w:sz w:val="20"/>
                <w:szCs w:val="20"/>
              </w:rPr>
              <w:t xml:space="preserve">URL CORRECTED</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Aetna</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OAuth token failing</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Config matches docs; creds may be expired</w:t>
            </w:r>
          </w:p>
        </w:tc>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No</w:t>
            </w:r>
          </w:p>
        </w:tc>
        <w:tc>
          <w:tcPr>
            <w:tcW w:type="dxa" w:w="1600"/>
            <w:tcBorders>
              <w:top w:val="single" w:color="D5D8DC" w:sz="1"/>
              <w:left w:val="single" w:color="D5D8DC" w:sz="1"/>
              <w:bottom w:val="single" w:color="D5D8DC" w:sz="1"/>
              <w:right w:val="single" w:color="D5D8D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NEEDS CREDS</w:t>
            </w:r>
          </w:p>
        </w:tc>
      </w:tr>
    </w:tbl>
    <w:p>
      <w:pPr>
        <w:spacing w:after="200"/>
      </w:pPr>
    </w:p>
    <w:p>
      <w:pPr>
        <w:spacing w:after="100"/>
      </w:pPr>
      <w:r>
        <w:rPr>
          <w:b/>
          <w:bCs/>
        </w:rPr>
        <w:t xml:space="preserve">Bottom line: </w:t>
      </w:r>
      <w:r>
        <w:t xml:space="preserve">1 of 4 payers was producing accurate data. After fixes, 3 of 4 should be accurate pending re-test. Aetna requires credential renewal on the developer portal. The architectural gap (missing practice-level payer acceptance data) must be filled before the acceptance gap feature can deliver value on the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120"/>
    </w:pPr>
    <w:r>
      <w:rPr>
        <w:rFonts w:ascii="Arial" w:cs="Arial" w:eastAsia="Arial" w:hAnsi="Arial"/>
        <w:b/>
        <w:bCs/>
        <w:color w:val="1B4F72"/>
        <w:sz w:val="20"/>
        <w:szCs w:val="20"/>
      </w:rPr>
      <w:t xml:space="preserve">KairoLogic</w:t>
    </w:r>
    <w:r>
      <w:rPr>
        <w:rFonts w:ascii="Arial" w:cs="Arial" w:eastAsia="Arial" w:hAnsi="Arial"/>
        <w:color w:val="7F8C8D"/>
        <w:sz w:val="18"/>
        <w:szCs w:val="18"/>
      </w:rPr>
      <w:t xml:space="preserve">	Payer Directory Sync — Findings &amp;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2026-03-29T14:33:28.934Z</dcterms:created>
  <dcterms:modified xsi:type="dcterms:W3CDTF">2026-03-29T14:33:28.935Z</dcterms:modified>
</cp:coreProperties>
</file>

<file path=docProps/custom.xml><?xml version="1.0" encoding="utf-8"?>
<Properties xmlns="http://schemas.openxmlformats.org/officeDocument/2006/custom-properties" xmlns:vt="http://schemas.openxmlformats.org/officeDocument/2006/docPropsVTypes"/>
</file>