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00"/>
        <w:jc w:val="center"/>
      </w:pPr>
      <w:r>
        <w:rPr>
          <w:rFonts w:ascii="Arial" w:cs="Arial" w:eastAsia="Arial" w:hAnsi="Arial"/>
          <w:b/>
          <w:bCs/>
          <w:color w:val="1B2A4A"/>
          <w:sz w:val="52"/>
          <w:szCs w:val="52"/>
        </w:rPr>
        <w:t xml:space="preserve">KAIROLOGIC</w:t>
      </w:r>
    </w:p>
    <w:p>
      <w:pPr>
        <w:spacing w:after="80"/>
        <w:jc w:val="center"/>
      </w:pPr>
      <w:r>
        <w:rPr>
          <w:rFonts w:ascii="Arial" w:cs="Arial" w:eastAsia="Arial" w:hAnsi="Arial"/>
          <w:color w:val="0D9488"/>
          <w:sz w:val="36"/>
          <w:szCs w:val="36"/>
        </w:rPr>
        <w:t xml:space="preserve">Viral Growth &amp; Product Strategy</w:t>
      </w:r>
    </w:p>
    <w:p>
      <w:pPr>
        <w:spacing w:after="60"/>
        <w:jc w:val="center"/>
      </w:pPr>
      <w:r>
        <w:rPr>
          <w:rFonts w:ascii="Arial" w:cs="Arial" w:eastAsia="Arial" w:hAnsi="Arial"/>
          <w:color w:val="6B7280"/>
          <w:sz w:val="24"/>
          <w:szCs w:val="24"/>
        </w:rPr>
        <w:t xml:space="preserve">Signal Inventory, Data Readiness, Implementation Plan &amp; Task List</w:t>
      </w:r>
    </w:p>
    <w:p>
      <w:pPr>
        <w:spacing w:after="60"/>
        <w:jc w:val="center"/>
      </w:pPr>
      <w:r>
        <w:rPr>
          <w:rFonts w:ascii="Arial" w:cs="Arial" w:eastAsia="Arial" w:hAnsi="Arial"/>
          <w:i/>
          <w:iCs/>
          <w:color w:val="6B7280"/>
          <w:sz w:val="20"/>
          <w:szCs w:val="20"/>
        </w:rPr>
        <w:t xml:space="preserve">Enhanced Website Crawl, Expanded Payer Coverage</w:t>
      </w:r>
    </w:p>
    <w:p>
      <w:pPr>
        <w:spacing w:after="400"/>
        <w:jc w:val="center"/>
      </w:pPr>
      <w:r>
        <w:rPr>
          <w:rFonts w:ascii="Arial" w:cs="Arial" w:eastAsia="Arial" w:hAnsi="Arial"/>
          <w:color w:val="6B7280"/>
          <w:sz w:val="22"/>
          <w:szCs w:val="22"/>
        </w:rPr>
        <w:t xml:space="preserve">Version 3.0  |  April 2026</w:t>
      </w:r>
    </w:p>
    <w:p>
      <w:pPr>
        <w:pBdr>
          <w:top w:val="single" w:color="0D9488" w:sz="2" w:space="8"/>
        </w:pBdr>
        <w:spacing w:after="120" w:before="200"/>
        <w:jc w:val="center"/>
      </w:pPr>
      <w:r>
        <w:rPr>
          <w:rFonts w:ascii="Arial" w:cs="Arial" w:eastAsia="Arial" w:hAnsi="Arial"/>
          <w:color w:val="6B7280"/>
          <w:sz w:val="22"/>
          <w:szCs w:val="22"/>
        </w:rPr>
        <w:t xml:space="preserve">Product Strategy &amp; Engineering</w:t>
      </w:r>
    </w:p>
    <w:p>
      <w:pPr>
        <w:spacing w:after="0" w:before="4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66"/>
        <w:gridCol w:w="2667"/>
        <w:gridCol w:w="2667"/>
      </w:tblGrid>
      <w:tr>
        <w:tc>
          <w:tcPr>
            <w:tcW w:type="dxa" w:w="2666"/>
            <w:tcBorders>
              <w:top w:val="none" w:sz="0"/>
              <w:left w:val="none" w:sz="0"/>
              <w:bottom w:val="none" w:sz="0"/>
              <w:right w:val="none" w:sz="0"/>
            </w:tcBorders>
            <w:shd w:fill="E6F7F5" w:val="clear"/>
            <w:tcMar>
              <w:top w:type="dxa" w:w="120"/>
              <w:left w:type="dxa" w:w="160"/>
              <w:bottom w:type="dxa" w:w="120"/>
              <w:right w:type="dxa" w:w="160"/>
            </w:tcMar>
          </w:tcPr>
          <w:p>
            <w:pPr>
              <w:jc w:val="center"/>
            </w:pPr>
            <w:r>
              <w:rPr>
                <w:rFonts w:ascii="Arial" w:cs="Arial" w:eastAsia="Arial" w:hAnsi="Arial"/>
                <w:b/>
                <w:bCs/>
                <w:color w:val="0D9488"/>
                <w:sz w:val="28"/>
                <w:szCs w:val="28"/>
              </w:rPr>
              <w:t xml:space="preserve">13 Data Signals</w:t>
            </w:r>
          </w:p>
          <w:p>
            <w:pPr>
              <w:jc w:val="center"/>
            </w:pPr>
            <w:r>
              <w:rPr>
                <w:rFonts w:ascii="Arial" w:cs="Arial" w:eastAsia="Arial" w:hAnsi="Arial"/>
                <w:color w:val="6B7280"/>
                <w:sz w:val="18"/>
                <w:szCs w:val="18"/>
              </w:rPr>
              <w:t xml:space="preserve">Mapped &amp; ranked</w:t>
            </w:r>
          </w:p>
        </w:tc>
        <w:tc>
          <w:tcPr>
            <w:tcW w:type="dxa" w:w="2667"/>
            <w:tcBorders>
              <w:top w:val="none" w:sz="0"/>
              <w:left w:val="none" w:sz="0"/>
              <w:bottom w:val="none" w:sz="0"/>
              <w:right w:val="none" w:sz="0"/>
            </w:tcBorders>
            <w:shd w:fill="E6F7F5" w:val="clear"/>
            <w:tcMar>
              <w:top w:type="dxa" w:w="120"/>
              <w:left w:type="dxa" w:w="160"/>
              <w:bottom w:type="dxa" w:w="120"/>
              <w:right w:type="dxa" w:w="160"/>
            </w:tcMar>
          </w:tcPr>
          <w:p>
            <w:pPr>
              <w:jc w:val="center"/>
            </w:pPr>
            <w:r>
              <w:rPr>
                <w:rFonts w:ascii="Arial" w:cs="Arial" w:eastAsia="Arial" w:hAnsi="Arial"/>
                <w:b/>
                <w:bCs/>
                <w:color w:val="0D9488"/>
                <w:sz w:val="28"/>
                <w:szCs w:val="28"/>
              </w:rPr>
              <w:t xml:space="preserve">127,969 TX NPIs</w:t>
            </w:r>
          </w:p>
          <w:p>
            <w:pPr>
              <w:jc w:val="center"/>
            </w:pPr>
            <w:r>
              <w:rPr>
                <w:rFonts w:ascii="Arial" w:cs="Arial" w:eastAsia="Arial" w:hAnsi="Arial"/>
                <w:color w:val="6B7280"/>
                <w:sz w:val="18"/>
                <w:szCs w:val="18"/>
              </w:rPr>
              <w:t xml:space="preserve">Pre-population target</w:t>
            </w:r>
          </w:p>
        </w:tc>
        <w:tc>
          <w:tcPr>
            <w:tcW w:type="dxa" w:w="2667"/>
            <w:tcBorders>
              <w:top w:val="none" w:sz="0"/>
              <w:left w:val="none" w:sz="0"/>
              <w:bottom w:val="none" w:sz="0"/>
              <w:right w:val="none" w:sz="0"/>
            </w:tcBorders>
            <w:shd w:fill="E6F7F5" w:val="clear"/>
            <w:tcMar>
              <w:top w:type="dxa" w:w="120"/>
              <w:left w:type="dxa" w:w="160"/>
              <w:bottom w:type="dxa" w:w="120"/>
              <w:right w:type="dxa" w:w="160"/>
            </w:tcMar>
          </w:tcPr>
          <w:p>
            <w:pPr>
              <w:jc w:val="center"/>
            </w:pPr>
            <w:r>
              <w:rPr>
                <w:rFonts w:ascii="Arial" w:cs="Arial" w:eastAsia="Arial" w:hAnsi="Arial"/>
                <w:b/>
                <w:bCs/>
                <w:color w:val="0D9488"/>
                <w:sz w:val="28"/>
                <w:szCs w:val="28"/>
              </w:rPr>
              <w:t xml:space="preserve">2 Phases</w:t>
            </w:r>
          </w:p>
          <w:p>
            <w:pPr>
              <w:jc w:val="center"/>
            </w:pPr>
            <w:r>
              <w:rPr>
                <w:rFonts w:ascii="Arial" w:cs="Arial" w:eastAsia="Arial" w:hAnsi="Arial"/>
                <w:color w:val="6B7280"/>
                <w:sz w:val="18"/>
                <w:szCs w:val="18"/>
              </w:rPr>
              <w:t xml:space="preserve">Free tool → API product</w:t>
            </w:r>
          </w:p>
        </w:tc>
      </w:tr>
    </w:tbl>
    <w:p>
      <w:r>
        <w:br w:type="page"/>
      </w:r>
    </w:p>
    <w:p>
      <w:pPr>
        <w:pStyle w:val="Heading1"/>
        <w:spacing w:after="200" w:before="300"/>
      </w:pPr>
      <w:r>
        <w:t xml:space="preserve">1. Executive Summary</w:t>
      </w:r>
    </w:p>
    <w:p>
      <w:pPr>
        <w:spacing w:after="160" w:before="0" w:line="276"/>
        <w:jc w:val="left"/>
      </w:pPr>
      <w:r>
        <w:rPr>
          <w:rFonts w:ascii="Arial" w:cs="Arial" w:eastAsia="Arial" w:hAnsi="Arial"/>
          <w:b w:val="false"/>
          <w:bCs w:val="false"/>
          <w:i w:val="false"/>
          <w:iCs w:val="false"/>
          <w:color w:val="1F2937"/>
          <w:sz w:val="22"/>
          <w:szCs w:val="22"/>
        </w:rPr>
        <w:t xml:space="preserve">KairoLogic sits on top of 13 distinct data signals spanning provider identity, licensing, payer directory accuracy, Medicare enrollment, website compliance, AI transparency, and disciplinary records. Not all of them carry equal weight for every buyer, and not all of them are ready for a public-facing instant-answer tool.</w:t>
      </w:r>
    </w:p>
    <w:p>
      <w:pPr>
        <w:spacing w:after="160" w:before="0" w:line="276"/>
        <w:jc w:val="left"/>
      </w:pPr>
      <w:r>
        <w:rPr>
          <w:rFonts w:ascii="Arial" w:cs="Arial" w:eastAsia="Arial" w:hAnsi="Arial"/>
          <w:b w:val="false"/>
          <w:bCs w:val="false"/>
          <w:i w:val="false"/>
          <w:iCs w:val="false"/>
          <w:color w:val="1F2937"/>
          <w:sz w:val="22"/>
          <w:szCs w:val="22"/>
        </w:rPr>
        <w:t xml:space="preserve">This document maps every signal, ranks it by value across four buyer personas (providers, insurance companies, CVOs, and large practices), assesses data readiness against what’s actually in the database today, identifies the gaps that need closing before launch, and lays out a revised two-phase plan: Phase 1 builds the backend APIs and free website lookup tool for Texas with enhanced website crawl capabilities; Phase 2 packages those same APIs as an external product for integration partners.</w:t>
      </w:r>
    </w:p>
    <w:p>
      <w:pPr>
        <w:spacing w:after="160" w:before="0" w:line="276"/>
        <w:jc w:val="left"/>
      </w:pPr>
      <w:r>
        <w:rPr>
          <w:rFonts w:ascii="Arial" w:cs="Arial" w:eastAsia="Arial" w:hAnsi="Arial"/>
          <w:b/>
          <w:bCs/>
          <w:color w:val="1F2937"/>
          <w:sz w:val="22"/>
          <w:szCs w:val="22"/>
        </w:rPr>
        <w:t xml:space="preserve">The critical finding: </w:t>
      </w:r>
      <w:r>
        <w:rPr>
          <w:rFonts w:ascii="Arial" w:cs="Arial" w:eastAsia="Arial" w:hAnsi="Arial"/>
          <w:color w:val="1F2937"/>
          <w:sz w:val="22"/>
          <w:szCs w:val="22"/>
        </w:rPr>
        <w:t xml:space="preserve">NPPES (1.8M providers), TMB licenses (50,649 Texas NPIs with expiration dates and disciplinary flags), and PECOS (203,834 Texas records) are pre-populated and ready. Signal #13 (AI Tool Detection) requires a new deep website crawl to identify embedded health-tech tools. The three-way comparison engine (Website vs NPPES vs Payer Directory) is KairoLogic’s unique differentiator. Payer directory coverage remains at 1.7% of Texas NPIs (2,201 providers), requiring bulk sync for 50,000+ licensed providers in Phase 1. The expanded Texas payer landscape beyond the original 6 payers includes Centene/Superior HealthPlan (confirmed FHIR API), Molina, and others identified through the website crawl “Insurance Accepted” extraction.</w:t>
      </w:r>
    </w:p>
    <w:p>
      <w:r>
        <w:br w:type="page"/>
      </w:r>
    </w:p>
    <w:p>
      <w:pPr>
        <w:pStyle w:val="Heading1"/>
        <w:spacing w:after="200" w:before="300"/>
      </w:pPr>
      <w:r>
        <w:t xml:space="preserve">2. Complete Signal Inventory</w:t>
      </w:r>
    </w:p>
    <w:p>
      <w:pPr>
        <w:spacing w:after="160" w:before="0" w:line="276"/>
        <w:jc w:val="left"/>
      </w:pPr>
      <w:r>
        <w:rPr>
          <w:rFonts w:ascii="Arial" w:cs="Arial" w:eastAsia="Arial" w:hAnsi="Arial"/>
          <w:b w:val="false"/>
          <w:bCs w:val="false"/>
          <w:i w:val="false"/>
          <w:iCs w:val="false"/>
          <w:color w:val="1F2937"/>
          <w:sz w:val="22"/>
          <w:szCs w:val="22"/>
        </w:rPr>
        <w:t xml:space="preserve">Every data point KairoLogic captures falls into one of these 13 signals. Each signal is a potential API endpoint and a potential question the free tool can answer.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400"/>
        <w:gridCol w:w="2400"/>
        <w:gridCol w:w="2360"/>
      </w:tblGrid>
      <w:t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DB Table</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Provider Identity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NPPES (NPI registry)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Name, credentials, taxonomy, practice address, phone, fax</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providers (1.82M rows)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License Status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TMB (TX), CMB (CA), state boards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Is the license active? When does it expire? When was it last renewed?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provider_licenses (389K rows, 106K NPIs)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Disciplinary Actions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TMB/CMB boards, OIG exclusion list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Has this provider had board actions, sanctions, or exclusions?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provider_licenses.has_disciplinary_action + disciplinary_details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PECOS Enrollment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CMS PECOS data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Is this provider enrolled in Medicare? What specialty? Reassignment status?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provider_pecos (456K rows)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Directory: Address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Aetna, UHC, Humana, Cigna FHIR APIs; BCBS scrape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Does the address on [Payer] match the provider’s actual address?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payer_directory_snapshots (20K rows, 5K NPIs)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Directory: Phone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Same payer APIs/scrape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Is the phone number correct on [Payer]?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payer_directory_snapshots.listed_phone</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7</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Directory: Specialty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Same payer APIs/scrape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Are specialties reflecting correctly on [Payer]?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payer_directory_snapshots.listed_specialty_display</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8</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Directory: Listed/Not Listed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Same payer APIs/scrape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Is this provider listed on [Payer] at all? Accepting patients?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payer_directory_snapshots.listed_name_full (null = not listed)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9</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Mismatches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Cross-reference: NPPES vs payer snapshot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What specific mismatches exist between the provider’s data and each payer?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payer_directory_mismatches (11 rows, 3 NPIs)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Website Compliance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Website scanner + Google Places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Does the provider’s website have correct NPI, address, phone, disclaimers?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scan_results (27K), google_places_cache (39K), compliance_findings (197K)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11</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TMB Board Releases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Texas Medical Board press releases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Recent board actions, license revocations, sanctions in Texas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tmb_processed_releases (13 rows)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NPPES Change Tracking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NPPES delta feed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Has this provider’s NPI record changed recently? (address, name, taxonomy)</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nppes_delta_events, drift_events (12 rows)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AI Tool Detection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Deep website crawl (JS analysis, iframe/embed detection, API interception)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What AI/health-tech tools (Healow, Healthie, Phreesia, Klara, etc.) are embedded in this provider’s website?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compliance_findings.ai_transparency (47K rows) + new ai_tools_detected table</w:t>
            </w:r>
          </w:p>
        </w:tc>
      </w:tr>
    </w:tbl>
    <w:p>
      <w:r>
        <w:br w:type="page"/>
      </w:r>
    </w:p>
    <w:p>
      <w:pPr>
        <w:pStyle w:val="Heading1"/>
        <w:spacing w:after="200" w:before="300"/>
      </w:pPr>
      <w:r>
        <w:t xml:space="preserve">3. Signal Value Ranking by Buyer Persona</w:t>
      </w:r>
    </w:p>
    <w:p>
      <w:pPr>
        <w:spacing w:after="160" w:before="0" w:line="276"/>
        <w:jc w:val="left"/>
      </w:pPr>
      <w:r>
        <w:rPr>
          <w:rFonts w:ascii="Arial" w:cs="Arial" w:eastAsia="Arial" w:hAnsi="Arial"/>
          <w:b w:val="false"/>
          <w:bCs w:val="false"/>
          <w:i w:val="false"/>
          <w:iCs w:val="false"/>
          <w:color w:val="1F2937"/>
          <w:sz w:val="22"/>
          <w:szCs w:val="22"/>
        </w:rPr>
        <w:t xml:space="preserve">Not every signal matters equally to every buyer. A solo provider cares most about whether their own listing is accurate; an insurance company cares about network-wide compliance. The ranking below reflects real purchasing motivation, not theoretical importance.</w:t>
      </w:r>
    </w:p>
    <w:p>
      <w:pPr>
        <w:spacing w:after="0" w:before="80"/>
      </w:pPr>
    </w:p>
    <w:p>
      <w:pPr>
        <w:pStyle w:val="Heading2"/>
        <w:spacing w:after="200" w:before="300"/>
      </w:pPr>
      <w:r>
        <w:t xml:space="preserve">Value Matrix (5 = Critical, 1 = Low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200"/>
        <w:gridCol w:w="1200"/>
        <w:gridCol w:w="600"/>
        <w:gridCol w:w="1560"/>
      </w:tblGrid>
      <w:tr>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Providers</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Insurance Cos</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CVOs</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Large Practices</w:t>
            </w:r>
          </w:p>
        </w:tc>
        <w:tc>
          <w:tcPr>
            <w:tcW w:type="dxa" w:w="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Avg</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Directory: Address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4.5</w:t>
            </w:r>
          </w:p>
        </w:tc>
        <w:tc>
          <w:tcPr>
            <w:tcW w:type="dxa" w:w="156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1</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License Status + Renewal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4.75</w:t>
            </w:r>
          </w:p>
        </w:tc>
        <w:tc>
          <w:tcPr>
            <w:tcW w:type="dxa" w:w="156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1</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Disciplinary Actions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4.5</w:t>
            </w:r>
          </w:p>
        </w:tc>
        <w:tc>
          <w:tcPr>
            <w:tcW w:type="dxa" w:w="156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1</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Listed / Not Listed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4.25</w:t>
            </w:r>
          </w:p>
        </w:tc>
        <w:tc>
          <w:tcPr>
            <w:tcW w:type="dxa" w:w="156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1</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PECOS / Medicare Enrollment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4.0</w:t>
            </w:r>
          </w:p>
        </w:tc>
        <w:tc>
          <w:tcPr>
            <w:tcW w:type="dxa" w:w="156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Directory: Phone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3.5</w:t>
            </w:r>
          </w:p>
        </w:tc>
        <w:tc>
          <w:tcPr>
            <w:tcW w:type="dxa" w:w="156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Directory: Specialty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3.75</w:t>
            </w:r>
          </w:p>
        </w:tc>
        <w:tc>
          <w:tcPr>
            <w:tcW w:type="dxa" w:w="156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Provider Identity (NPPES)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3.25</w:t>
            </w:r>
          </w:p>
        </w:tc>
        <w:tc>
          <w:tcPr>
            <w:tcW w:type="dxa" w:w="156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Website Compliance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2.25</w:t>
            </w:r>
          </w:p>
        </w:tc>
        <w:tc>
          <w:tcPr>
            <w:tcW w:type="dxa" w:w="15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TIER 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NPPES Change Tracking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2.75</w:t>
            </w:r>
          </w:p>
        </w:tc>
        <w:tc>
          <w:tcPr>
            <w:tcW w:type="dxa" w:w="15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TIER 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TMB Board Releases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2.75</w:t>
            </w:r>
          </w:p>
        </w:tc>
        <w:tc>
          <w:tcPr>
            <w:tcW w:type="dxa" w:w="15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TIER 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AI Tool Detection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2.75</w:t>
            </w:r>
          </w:p>
        </w:tc>
        <w:tc>
          <w:tcPr>
            <w:tcW w:type="dxa" w:w="15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TIER 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Mismatches (computed)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5</w:t>
            </w:r>
          </w:p>
        </w:tc>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4.0</w:t>
            </w:r>
          </w:p>
        </w:tc>
        <w:tc>
          <w:tcPr>
            <w:tcW w:type="dxa" w:w="1560"/>
            <w:tcBorders>
              <w:top w:val="single" w:color="D1D5DB" w:sz="1"/>
              <w:left w:val="single" w:color="D1D5DB" w:sz="1"/>
              <w:bottom w:val="single" w:color="D1D5DB" w:sz="1"/>
              <w:right w:val="single" w:color="D1D5DB" w:sz="1"/>
            </w:tcBorders>
            <w:shd w:fill="0D948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COMPUTED</w:t>
            </w:r>
          </w:p>
        </w:tc>
      </w:tr>
    </w:tbl>
    <w:p>
      <w:pPr>
        <w:spacing w:after="0" w:before="100"/>
      </w:pPr>
    </w:p>
    <w:p>
      <w:pPr>
        <w:spacing w:after="160" w:before="0" w:line="276"/>
        <w:jc w:val="left"/>
      </w:pPr>
      <w:r>
        <w:rPr>
          <w:rFonts w:ascii="Arial" w:cs="Arial" w:eastAsia="Arial" w:hAnsi="Arial"/>
          <w:b/>
          <w:bCs/>
          <w:color w:val="1F2937"/>
          <w:sz w:val="22"/>
          <w:szCs w:val="22"/>
        </w:rPr>
        <w:t xml:space="preserve">Tier 1 signals </w:t>
      </w:r>
      <w:r>
        <w:rPr>
          <w:rFonts w:ascii="Arial" w:cs="Arial" w:eastAsia="Arial" w:hAnsi="Arial"/>
          <w:color w:val="1F2937"/>
          <w:sz w:val="22"/>
          <w:szCs w:val="22"/>
        </w:rPr>
        <w:t xml:space="preserve">(license, disciplinary, payer address, listed/not-listed) are the ones that make or break the free tool. If we can answer these four questions accurately for a Texas NPI, the value moment is immediate and undeniable.</w:t>
      </w:r>
    </w:p>
    <w:p>
      <w:pPr>
        <w:spacing w:after="160" w:before="0" w:line="276"/>
        <w:jc w:val="left"/>
      </w:pPr>
      <w:r>
        <w:rPr>
          <w:rFonts w:ascii="Arial" w:cs="Arial" w:eastAsia="Arial" w:hAnsi="Arial"/>
          <w:b/>
          <w:bCs/>
          <w:color w:val="1F2937"/>
          <w:sz w:val="22"/>
          <w:szCs w:val="22"/>
        </w:rPr>
        <w:t xml:space="preserve">Payer Mismatches </w:t>
      </w:r>
      <w:r>
        <w:rPr>
          <w:rFonts w:ascii="Arial" w:cs="Arial" w:eastAsia="Arial" w:hAnsi="Arial"/>
          <w:color w:val="1F2937"/>
          <w:sz w:val="22"/>
          <w:szCs w:val="22"/>
        </w:rPr>
        <w:t xml:space="preserve">is labeled COMPUTED because it’s derived from comparing NPPES data against payer snapshots. It’s the highest-value output for providers and large practices, but it requires both the NPPES record and the payer snapshot to exist. It’s the product, not the raw data.</w:t>
      </w:r>
    </w:p>
    <w:p>
      <w:pPr>
        <w:spacing w:after="160" w:before="0" w:line="276"/>
        <w:jc w:val="left"/>
      </w:pPr>
      <w:r>
        <w:rPr>
          <w:rFonts w:ascii="Arial" w:cs="Arial" w:eastAsia="Arial" w:hAnsi="Arial"/>
          <w:b/>
          <w:bCs/>
          <w:color w:val="1F2937"/>
          <w:sz w:val="22"/>
          <w:szCs w:val="22"/>
        </w:rPr>
        <w:t xml:space="preserve">AI Tool Detection </w:t>
      </w:r>
      <w:r>
        <w:rPr>
          <w:rFonts w:ascii="Arial" w:cs="Arial" w:eastAsia="Arial" w:hAnsi="Arial"/>
          <w:color w:val="1F2937"/>
          <w:sz w:val="22"/>
          <w:szCs w:val="22"/>
        </w:rPr>
        <w:t xml:space="preserve">is valued highly by insurance companies (4/5) who need to understand provider tech infrastructure for compliance and interoperability. For individual providers and large practices, it’s primarily informational.</w:t>
      </w:r>
    </w:p>
    <w:p>
      <w:r>
        <w:br w:type="page"/>
      </w:r>
    </w:p>
    <w:p>
      <w:pPr>
        <w:pStyle w:val="Heading1"/>
        <w:spacing w:after="200" w:before="300"/>
      </w:pPr>
      <w:r>
        <w:t xml:space="preserve">4. Data Readiness Assessment</w:t>
      </w:r>
    </w:p>
    <w:p>
      <w:pPr>
        <w:spacing w:after="160" w:before="0" w:line="276"/>
        <w:jc w:val="left"/>
      </w:pPr>
      <w:r>
        <w:rPr>
          <w:rFonts w:ascii="Arial" w:cs="Arial" w:eastAsia="Arial" w:hAnsi="Arial"/>
          <w:b w:val="false"/>
          <w:bCs w:val="false"/>
          <w:i w:val="false"/>
          <w:iCs w:val="false"/>
          <w:color w:val="1F2937"/>
          <w:sz w:val="22"/>
          <w:szCs w:val="22"/>
        </w:rPr>
        <w:t xml:space="preserve">Here’s where reality meets strategy. The numbers below come directly from the production database as of April 3,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300"/>
        <w:gridCol w:w="1200"/>
        <w:gridCol w:w="22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 Source</w:t>
            </w:r>
          </w:p>
        </w:tc>
        <w:tc>
          <w:tcPr>
            <w:tcW w:type="dxa" w:w="13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 Records</w:t>
            </w:r>
          </w:p>
        </w:tc>
        <w:tc>
          <w:tcPr>
            <w:tcW w:type="dxa" w:w="1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Texas Coverage</w:t>
            </w:r>
          </w:p>
        </w:tc>
        <w:tc>
          <w:tcPr>
            <w:tcW w:type="dxa" w:w="13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Last Synced</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Readiness</w:t>
            </w:r>
          </w:p>
        </w:tc>
        <w:tc>
          <w:tcPr>
            <w:tcW w:type="dxa" w:w="2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NPPES (providers)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1,819,934</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127,969 NPIs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Ongoing</w:t>
            </w:r>
          </w:p>
        </w:tc>
        <w:tc>
          <w:tcPr>
            <w:tcW w:type="dxa" w:w="12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READY</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 national NPI registry. Address, phone, taxonomy, credentials all populated.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TMB Licenses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183,838 (TX)</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50,649 NPIs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Mar 9, 2026</w:t>
            </w:r>
          </w:p>
        </w:tc>
        <w:tc>
          <w:tcPr>
            <w:tcW w:type="dxa" w:w="12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READY*</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License status, expiry, renewal dates present. 9,786 with disciplinary flags. *Needs re-sync (25 days stale).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CMB Licenses (CA)</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205,743</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 (CA only)</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Mar 13, 2026</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FUTURE</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55,509 CA NPIs. Not needed for TX launch but ready for CA expansion.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PECOS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456,756</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203,834</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Bulk load</w:t>
            </w:r>
          </w:p>
        </w:tc>
        <w:tc>
          <w:tcPr>
            <w:tcW w:type="dxa" w:w="12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READY</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Medicare enrollment, specialty, reassignment data. CMS public dataset.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Snapshots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20,364</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~2,201 NPIs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Mar–Apr 2026</w:t>
            </w:r>
          </w:p>
        </w:tc>
        <w:tc>
          <w:tcPr>
            <w:tcW w:type="dxa" w:w="12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Only 1.7% of TX providers covered. Humana/Aetna best; UHC/Cigna/BCBS sparse.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Website Scans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27,079 scans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~26K NPIs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Jan–Feb 2026</w:t>
            </w:r>
          </w:p>
        </w:tc>
        <w:tc>
          <w:tcPr>
            <w:tcW w:type="dxa" w:w="12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STALE</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197K compliance findings. Will capture AI tools, accepting patients, insurance lists in Phase 1 enhanced crawl.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Google Places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39,027</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Unknown</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Cached</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left"/>
            </w:pPr>
            <w:r>
              <w:rPr>
                <w:rFonts w:ascii="Arial" w:cs="Arial" w:eastAsia="Arial" w:hAnsi="Arial"/>
                <w:b/>
                <w:bCs/>
                <w:color w:val="1F2937"/>
                <w:sz w:val="20"/>
                <w:szCs w:val="20"/>
              </w:rPr>
              <w:t xml:space="preserve">PARTIAL</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Website URLs and place data. Useful for address cross-reference.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TMB Board Releases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 (TX only)</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Periodic</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left"/>
            </w:pPr>
            <w:r>
              <w:rPr>
                <w:rFonts w:ascii="Arial" w:cs="Arial" w:eastAsia="Arial" w:hAnsi="Arial"/>
                <w:b/>
                <w:bCs/>
                <w:color w:val="1F2937"/>
                <w:sz w:val="20"/>
                <w:szCs w:val="20"/>
              </w:rPr>
              <w:t xml:space="preserve">THIN</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Press release tracking. Low volume but high signal. Feeds disciplinary data.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NPPES Deltas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 events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Minimal</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w:t>
            </w:r>
          </w:p>
        </w:tc>
        <w:tc>
          <w:tcPr>
            <w:tcW w:type="dxa" w:w="12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 READY</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Change tracking barely started. Needs scheduled delta ingestion pipeline.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AI Tool Detection</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47K (existing)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TBD</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Partial</w:t>
            </w:r>
          </w:p>
        </w:tc>
        <w:tc>
          <w:tcPr>
            <w:tcW w:type="dxa" w:w="12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 PROGRESS</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Existing compliance data + new ai_tools_detected table required for Phase 1 deep crawl.</w:t>
            </w:r>
          </w:p>
        </w:tc>
      </w:tr>
    </w:tbl>
    <w:p>
      <w:pPr>
        <w:spacing w:after="0" w:before="120"/>
      </w:pPr>
    </w:p>
    <w:p>
      <w:pPr>
        <w:pStyle w:val="Heading2"/>
        <w:spacing w:after="200" w:before="300"/>
      </w:pPr>
      <w:r>
        <w:t xml:space="preserve">The Payer Directory Gap: The Biggest Blocker</w:t>
      </w:r>
    </w:p>
    <w:p>
      <w:pPr>
        <w:spacing w:after="160" w:before="0" w:line="276"/>
        <w:jc w:val="left"/>
      </w:pPr>
      <w:r>
        <w:rPr>
          <w:rFonts w:ascii="Arial" w:cs="Arial" w:eastAsia="Arial" w:hAnsi="Arial"/>
          <w:b w:val="false"/>
          <w:bCs w:val="false"/>
          <w:i w:val="false"/>
          <w:iCs w:val="false"/>
          <w:color w:val="1F2937"/>
          <w:sz w:val="22"/>
          <w:szCs w:val="22"/>
        </w:rPr>
        <w:t xml:space="preserve">The numbers tell a stark story. We have 127,969 Texas providers in NPPES, but payer directory snapshots for only 2,201 of them (1.7%). The breakdown by payer:</w:t>
      </w:r>
    </w:p>
    <w:p>
      <w:pPr>
        <w:spacing w:after="0" w:before="6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100"/>
        <w:gridCol w:w="1100"/>
        <w:gridCol w:w="100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Payer</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Snapshots</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Unique NPIs</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Has Name</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Has Address</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Has Phone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Humana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10,019</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5,027</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1,191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1,291</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1,291</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Aetna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7,950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5,024</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665</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663</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663</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UHC</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2,218</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2,217</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137</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137</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137</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Cigna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141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141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16</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16</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BCBS TX</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16</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16</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16</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BCBS CA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w:t>
            </w:r>
          </w:p>
        </w:tc>
      </w:tr>
    </w:tbl>
    <w:p>
      <w:pPr>
        <w:spacing w:after="0" w:before="80"/>
      </w:pPr>
    </w:p>
    <w:p>
      <w:pPr>
        <w:spacing w:after="160" w:before="0" w:line="276"/>
        <w:jc w:val="left"/>
      </w:pPr>
      <w:r>
        <w:rPr>
          <w:rFonts w:ascii="Arial" w:cs="Arial" w:eastAsia="Arial" w:hAnsi="Arial"/>
          <w:b w:val="false"/>
          <w:bCs w:val="false"/>
          <w:i w:val="false"/>
          <w:iCs w:val="false"/>
          <w:color w:val="1F2937"/>
          <w:sz w:val="22"/>
          <w:szCs w:val="22"/>
        </w:rPr>
        <w:t xml:space="preserve">Even among the NPIs that have snapshots, populated fields are inconsistent. Humana has 5,027 NPIs in snapshots but only 1,191 have a name populated. This means many snapshots represent “not listed” results (the provider was searched but not found on that payer). That’s actually useful data for the “Are you listed?” question, but it means we can’t answer “Is your address correct?” for the majority.</w:t>
      </w:r>
    </w:p>
    <w:p>
      <w:r>
        <w:br w:type="page"/>
      </w:r>
    </w:p>
    <w:p>
      <w:pPr>
        <w:pStyle w:val="Heading1"/>
        <w:spacing w:after="200" w:before="300"/>
      </w:pPr>
      <w:r>
        <w:t xml:space="preserve">5. Free Tool: Which Questions Can We Answer Today?</w:t>
      </w:r>
    </w:p>
    <w:p>
      <w:pPr>
        <w:spacing w:after="160" w:before="0" w:line="276"/>
        <w:jc w:val="left"/>
      </w:pPr>
      <w:r>
        <w:rPr>
          <w:rFonts w:ascii="Arial" w:cs="Arial" w:eastAsia="Arial" w:hAnsi="Arial"/>
          <w:b w:val="false"/>
          <w:bCs w:val="false"/>
          <w:i w:val="false"/>
          <w:iCs w:val="false"/>
          <w:color w:val="1F2937"/>
          <w:sz w:val="22"/>
          <w:szCs w:val="22"/>
        </w:rPr>
        <w:t xml:space="preserve">Given the actual data in the database, here’s an honest assessment of which instant-answer questions we can confidently serve on the website, and which ones need work before going live.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 Answer?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4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Requirements / Gaps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Does this provider need a license renewal?</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YES</w:t>
            </w:r>
          </w:p>
        </w:tc>
        <w:tc>
          <w:tcPr>
            <w:tcW w:type="dxa" w:w="11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HIGH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50,649 TX NPIs with expiration dates. Re-sync TMB to get data &lt; 7 days old.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Has this provider had any disciplinary action?</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YES</w:t>
            </w:r>
          </w:p>
        </w:tc>
        <w:tc>
          <w:tcPr>
            <w:tcW w:type="dxa" w:w="11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HIGH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9,786 TX records with disciplinary flags + details text. Re-sync TMB. Cross-reference OIG exclusion list (not yet ingested).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Is this provider enrolled in Medicare (PECOS)?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YES</w:t>
            </w:r>
          </w:p>
        </w:tc>
        <w:tc>
          <w:tcPr>
            <w:tcW w:type="dxa" w:w="11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HIGH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203,834 TX PECOS records. Enrollment status, specialty, reassignment data all present.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What is this provider’s NPPES record?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YES</w:t>
            </w:r>
          </w:p>
        </w:tc>
        <w:tc>
          <w:tcPr>
            <w:tcW w:type="dxa" w:w="11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HIGH</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127,969 TX NPIs. Name, address, phone, taxonomy, credentials. Authoritative source.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Is the address correct on [Payer] for this provider?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PARTIAL</w:t>
            </w:r>
          </w:p>
        </w:tc>
        <w:tc>
          <w:tcPr>
            <w:tcW w:type="dxa" w:w="11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LOW</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Only ~2,201 TX NPIs have payer snapshots. Need bulk payer sync for TX before this is credible. Humana/Aetna best coverage; BCBS TX nearly empty (18 NPIs).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Are the specialties correct on [Payer]?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PARTIAL</w:t>
            </w:r>
          </w:p>
        </w:tc>
        <w:tc>
          <w:tcPr>
            <w:tcW w:type="dxa" w:w="11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LOW</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Same payer snapshot gap. Specialty field populated inconsistently across payers.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Is this provider listed on [Payer] at all?</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PARTIAL</w:t>
            </w:r>
          </w:p>
        </w:tc>
        <w:tc>
          <w:tcPr>
            <w:tcW w:type="dxa" w:w="11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MEDIUM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Can answer for NPIs we’ve already searched (null listed_name_full = not found). But 98% of TX NPIs haven’t been searched yet.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Is this provider’s website compliant?</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NO</w:t>
            </w:r>
          </w:p>
        </w:tc>
        <w:tc>
          <w:tcPr>
            <w:tcW w:type="dxa" w:w="1100"/>
            <w:tcBorders>
              <w:top w:val="single" w:color="D1D5DB" w:sz="1"/>
              <w:left w:val="single" w:color="D1D5DB" w:sz="1"/>
              <w:bottom w:val="single" w:color="D1D5DB" w:sz="1"/>
              <w:right w:val="single" w:color="D1D5DB" w:sz="1"/>
            </w:tcBorders>
            <w:shd w:fill="DC262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STALE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Scan data is Jan–Feb 2026 (60+ days old). Would need fresh scans. Too slow for instant answers, better as a dashboard feature.</w:t>
            </w:r>
          </w:p>
        </w:tc>
      </w:tr>
    </w:tbl>
    <w:p>
      <w:pPr>
        <w:spacing w:after="0" w:before="100"/>
      </w:pPr>
    </w:p>
    <w:p>
      <w:pPr>
        <w:pStyle w:val="Heading2"/>
        <w:spacing w:after="200" w:before="300"/>
      </w:pPr>
      <w:r>
        <w:t xml:space="preserve">Recommended Free Tool Launch Scope</w:t>
      </w:r>
    </w:p>
    <w:p>
      <w:pPr>
        <w:spacing w:after="160" w:before="0" w:line="276"/>
        <w:jc w:val="left"/>
      </w:pPr>
      <w:r>
        <w:rPr>
          <w:rFonts w:ascii="Arial" w:cs="Arial" w:eastAsia="Arial" w:hAnsi="Arial"/>
          <w:b/>
          <w:bCs/>
          <w:color w:val="1F2937"/>
          <w:sz w:val="22"/>
          <w:szCs w:val="22"/>
        </w:rPr>
        <w:t xml:space="preserve">Launch with the 4 GREEN signals first.</w:t>
      </w:r>
      <w:r>
        <w:rPr>
          <w:rFonts w:ascii="Arial" w:cs="Arial" w:eastAsia="Arial" w:hAnsi="Arial"/>
          <w:color w:val="1F2937"/>
          <w:sz w:val="22"/>
          <w:szCs w:val="22"/>
        </w:rPr>
        <w:t xml:space="preserve"> License renewal, disciplinary actions, PECOS enrollment, and NPPES identity. These cover 4 high-value questions, all backed by data we already have for the majority of Texas providers. The payer directory questions should be labeled “Preview” or “Sign up for full access” until the bulk sync is complete.</w:t>
      </w:r>
    </w:p>
    <w:p>
      <w:pPr>
        <w:spacing w:after="160" w:before="0" w:line="276"/>
        <w:jc w:val="left"/>
      </w:pPr>
      <w:r>
        <w:rPr>
          <w:rFonts w:ascii="Arial" w:cs="Arial" w:eastAsia="Arial" w:hAnsi="Arial"/>
          <w:b w:val="false"/>
          <w:bCs w:val="false"/>
          <w:i w:val="false"/>
          <w:iCs w:val="false"/>
          <w:color w:val="1F2937"/>
          <w:sz w:val="22"/>
          <w:szCs w:val="22"/>
        </w:rPr>
        <w:t xml:space="preserve">This is not a compromise. License and disciplinary checks are the #1 and #3 highest-value signals across all buyer personas. Leading with these positions KairoLogic as a credentialing intelligence tool, not just a payer directory checker. The payer questions come online as the sync catches up, and their arrival becomes a feature launch moment rather than a gap.</w:t>
      </w:r>
    </w:p>
    <w:p>
      <w:r>
        <w:br w:type="page"/>
      </w:r>
    </w:p>
    <w:p>
      <w:pPr>
        <w:pStyle w:val="Heading1"/>
        <w:spacing w:after="200" w:before="300"/>
      </w:pPr>
      <w:r>
        <w:t xml:space="preserve">6. Texas Pre-Population Requirements</w:t>
      </w:r>
    </w:p>
    <w:p>
      <w:pPr>
        <w:spacing w:after="160" w:before="0" w:line="276"/>
        <w:jc w:val="left"/>
      </w:pPr>
      <w:r>
        <w:rPr>
          <w:rFonts w:ascii="Arial" w:cs="Arial" w:eastAsia="Arial" w:hAnsi="Arial"/>
          <w:b w:val="false"/>
          <w:bCs w:val="false"/>
          <w:i w:val="false"/>
          <w:iCs w:val="false"/>
          <w:color w:val="1F2937"/>
          <w:sz w:val="22"/>
          <w:szCs w:val="22"/>
        </w:rPr>
        <w:t xml:space="preserve">The free tool needs answers ready before anyone searches. Real-time API calls to TMB, PECOS, and 5 payer directories for every anonymous visitor would be slow, rate-limited, and expensive. The answer is a pre-populated Texas data layer that’s refreshed on a schedule.</w:t>
      </w:r>
    </w:p>
    <w:p>
      <w:pPr>
        <w:spacing w:after="0" w:before="80"/>
      </w:pPr>
    </w:p>
    <w:p>
      <w:pPr>
        <w:pStyle w:val="Heading2"/>
        <w:spacing w:after="200" w:before="300"/>
      </w:pPr>
      <w:r>
        <w:t xml:space="preserve">What Must Be Pre-Populated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360"/>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TX Records Today</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Coverage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Refresh Cadence</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NPPES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059669"/>
                <w:sz w:val="20"/>
                <w:szCs w:val="20"/>
              </w:rPr>
              <w:t xml:space="preserve">127,969</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127,969 (100%)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Weekly delta feed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Low. Already loaded. Wire up NPPES weekly delta download.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TMB Licenses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059669"/>
                <w:sz w:val="20"/>
                <w:szCs w:val="20"/>
              </w:rPr>
              <w:t xml:space="preserve">50,649 NPIs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All TX licensed providers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Weekly re-sync</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Medium. Re-run TMB scraper. Set up cron for weekly refresh.</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PECOS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059669"/>
                <w:sz w:val="20"/>
                <w:szCs w:val="20"/>
              </w:rPr>
              <w:t xml:space="preserve">203,834</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203,834 (100%)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Monthly bulk + quarterly CMS release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Low. Already loaded. Wire up CMS quarterly file ingestion.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OIG Exclusion List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All excluded providers (national)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Monthly</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Medium. Download OIG LEIE file, match on NPI, flag in provider_licenses.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Directories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~2,201 NPIs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50,000+ TX NPIs across 4+ payers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Bi-weekly per payer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HIGH. Bulk sync job for each payer API. Estimated 2–3 weeks for initial TX run.</w:t>
            </w:r>
          </w:p>
        </w:tc>
      </w:tr>
    </w:tbl>
    <w:p>
      <w:pPr>
        <w:spacing w:after="0" w:before="100"/>
      </w:pPr>
    </w:p>
    <w:p>
      <w:pPr>
        <w:pStyle w:val="Heading2"/>
        <w:spacing w:after="200" w:before="300"/>
      </w:pPr>
      <w:r>
        <w:t xml:space="preserve">The Payer Bulk Sync: Sizing the Work</w:t>
      </w:r>
    </w:p>
    <w:p>
      <w:pPr>
        <w:spacing w:after="160" w:before="0" w:line="276"/>
        <w:jc w:val="left"/>
      </w:pPr>
      <w:r>
        <w:rPr>
          <w:rFonts w:ascii="Arial" w:cs="Arial" w:eastAsia="Arial" w:hAnsi="Arial"/>
          <w:b w:val="false"/>
          <w:bCs w:val="false"/>
          <w:i w:val="false"/>
          <w:iCs w:val="false"/>
          <w:color w:val="1F2937"/>
          <w:sz w:val="22"/>
          <w:szCs w:val="22"/>
        </w:rPr>
        <w:t xml:space="preserve">Running 127,969 Texas NPIs through 4 active payer APIs at their current rate limits: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00"/>
        <w:gridCol w:w="2160"/>
      </w:tblGrid>
      <w:t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Payer</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NPIs to Query</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Time (sequential)</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Humana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60 req/min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~128K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~35 hours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059669"/>
                <w:sz w:val="20"/>
                <w:szCs w:val="20"/>
              </w:rPr>
              <w:t xml:space="preserve">FHIR API active, no auth needed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Aetna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 req/min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~128K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~71 hours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059669"/>
                <w:sz w:val="20"/>
                <w:szCs w:val="20"/>
              </w:rPr>
              <w:t xml:space="preserve">OAuth2 active, credentials configured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UHC</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60 req/min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~128K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~35 hours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059669"/>
                <w:sz w:val="20"/>
                <w:szCs w:val="20"/>
              </w:rPr>
              <w:t xml:space="preserve">FHIR API active, no auth needed</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Cigna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 req/min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~128K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~71 hours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FHIR API active, name-based search</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BCBS TX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 req/min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~128K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~213 hours (scrape)</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PENDING: FHIR credentials awaited. Scrape fallback.</w:t>
            </w:r>
          </w:p>
        </w:tc>
      </w:tr>
    </w:tbl>
    <w:p>
      <w:pPr>
        <w:spacing w:after="0" w:before="80"/>
      </w:pPr>
    </w:p>
    <w:p>
      <w:pPr>
        <w:spacing w:after="160" w:before="0" w:line="276"/>
        <w:jc w:val="left"/>
      </w:pPr>
      <w:r>
        <w:rPr>
          <w:rFonts w:ascii="Arial" w:cs="Arial" w:eastAsia="Arial" w:hAnsi="Arial"/>
          <w:b/>
          <w:bCs/>
          <w:color w:val="1F2937"/>
          <w:sz w:val="22"/>
          <w:szCs w:val="22"/>
        </w:rPr>
        <w:t xml:space="preserve">Total wall-clock time: </w:t>
      </w:r>
      <w:r>
        <w:rPr>
          <w:rFonts w:ascii="Arial" w:cs="Arial" w:eastAsia="Arial" w:hAnsi="Arial"/>
          <w:color w:val="1F2937"/>
          <w:sz w:val="22"/>
          <w:szCs w:val="22"/>
        </w:rPr>
        <w:t xml:space="preserve">Running all 4 active payers in parallel, the initial TX bulk sync takes approximately 3 days of continuous operation. BCBS TX is the bottleneck, at 10 req/min with scraping, it would take 9+ days unless FHIR credentials arrive. Recommendation: launch the free tool with Humana, Aetna, UHC, and Cigna coverage first. BCBS TX follows when credentials are secured or scraping completes.</w:t>
      </w:r>
    </w:p>
    <w:p>
      <w:pPr>
        <w:spacing w:after="160" w:before="0" w:line="276"/>
        <w:jc w:val="left"/>
      </w:pPr>
      <w:r>
        <w:rPr>
          <w:rFonts w:ascii="Arial" w:cs="Arial" w:eastAsia="Arial" w:hAnsi="Arial"/>
          <w:b/>
          <w:bCs/>
          <w:color w:val="1F2937"/>
          <w:sz w:val="22"/>
          <w:szCs w:val="22"/>
        </w:rPr>
        <w:t xml:space="preserve">Optimization: </w:t>
      </w:r>
      <w:r>
        <w:rPr>
          <w:rFonts w:ascii="Arial" w:cs="Arial" w:eastAsia="Arial" w:hAnsi="Arial"/>
          <w:color w:val="1F2937"/>
          <w:sz w:val="22"/>
          <w:szCs w:val="22"/>
        </w:rPr>
        <w:t xml:space="preserve">Don’t sync all 128K NPIs. Start with NPIs that have active TMB licenses (50,649), which filters out retired, non-clinical, and out-of-state providers. That cuts the sync time by 60% and covers the providers most likely to be searched.</w:t>
      </w:r>
    </w:p>
    <w:p>
      <w:r>
        <w:br w:type="page"/>
      </w:r>
    </w:p>
    <w:p>
      <w:pPr>
        <w:pStyle w:val="Heading1"/>
        <w:spacing w:after="200" w:before="300"/>
      </w:pPr>
      <w:r>
        <w:t xml:space="preserve">7. Enhanced Website Crawl Specification</w:t>
      </w:r>
    </w:p>
    <w:p>
      <w:pPr>
        <w:spacing w:after="160" w:before="0" w:line="276"/>
        <w:jc w:val="left"/>
      </w:pPr>
      <w:r>
        <w:rPr>
          <w:rFonts w:ascii="Arial" w:cs="Arial" w:eastAsia="Arial" w:hAnsi="Arial"/>
          <w:b w:val="false"/>
          <w:bCs w:val="false"/>
          <w:i w:val="false"/>
          <w:iCs w:val="false"/>
          <w:color w:val="1F2937"/>
          <w:sz w:val="22"/>
          <w:szCs w:val="22"/>
        </w:rPr>
        <w:t xml:space="preserve">The Phase 1 website crawl evolution adds three critical new capabilities: detecting whether providers are accepting new patients, extracting the insurance plans they accept, and identifying embedded AI/health-tech tools. This section details current capabilities and the new requirements.</w:t>
      </w:r>
    </w:p>
    <w:p>
      <w:pPr>
        <w:spacing w:after="0" w:before="80"/>
      </w:pPr>
    </w:p>
    <w:p>
      <w:pPr>
        <w:pStyle w:val="Heading2"/>
        <w:spacing w:after="200" w:before="300"/>
      </w:pPr>
      <w:r>
        <w:t xml:space="preserve">Current Scanner Capabilities</w:t>
      </w:r>
    </w:p>
    <w:p>
      <w:pPr>
        <w:pStyle w:val="ListParagraph"/>
        <w:numPr>
          <w:ilvl w:val="0"/>
          <w:numId w:val="2"/>
        </w:numPr>
        <w:spacing w:after="80" w:line="276"/>
      </w:pPr>
      <w:r>
        <w:rPr>
          <w:rFonts w:ascii="Arial" w:cs="Arial" w:eastAsia="Arial" w:hAnsi="Arial"/>
          <w:color w:val="1F2937"/>
          <w:sz w:val="22"/>
          <w:szCs w:val="22"/>
        </w:rPr>
        <w:t xml:space="preserve">Address verification (NPI-01 check): Compare website address to NPPES</w:t>
      </w:r>
    </w:p>
    <w:p>
      <w:pPr>
        <w:pStyle w:val="ListParagraph"/>
        <w:numPr>
          <w:ilvl w:val="0"/>
          <w:numId w:val="2"/>
        </w:numPr>
        <w:spacing w:after="80" w:line="276"/>
      </w:pPr>
      <w:r>
        <w:rPr>
          <w:rFonts w:ascii="Arial" w:cs="Arial" w:eastAsia="Arial" w:hAnsi="Arial"/>
          <w:color w:val="1F2937"/>
          <w:sz w:val="22"/>
          <w:szCs w:val="22"/>
        </w:rPr>
        <w:t xml:space="preserve">Phone verification (NPI-02 check): Compare website phone to NPPES</w:t>
      </w:r>
    </w:p>
    <w:p>
      <w:pPr>
        <w:pStyle w:val="ListParagraph"/>
        <w:numPr>
          <w:ilvl w:val="0"/>
          <w:numId w:val="2"/>
        </w:numPr>
        <w:spacing w:after="80" w:line="276"/>
      </w:pPr>
      <w:r>
        <w:rPr>
          <w:rFonts w:ascii="Arial" w:cs="Arial" w:eastAsia="Arial" w:hAnsi="Arial"/>
          <w:color w:val="1F2937"/>
          <w:sz w:val="22"/>
          <w:szCs w:val="22"/>
        </w:rPr>
        <w:t xml:space="preserve">Specialty verification (NPI-03 check): Compare website specialty to NPPES</w:t>
      </w:r>
    </w:p>
    <w:p>
      <w:pPr>
        <w:pStyle w:val="ListParagraph"/>
        <w:numPr>
          <w:ilvl w:val="0"/>
          <w:numId w:val="2"/>
        </w:numPr>
        <w:spacing w:after="80" w:line="276"/>
      </w:pPr>
      <w:r>
        <w:rPr>
          <w:rFonts w:ascii="Arial" w:cs="Arial" w:eastAsia="Arial" w:hAnsi="Arial"/>
          <w:color w:val="1F2937"/>
          <w:sz w:val="22"/>
          <w:szCs w:val="22"/>
        </w:rPr>
        <w:t xml:space="preserve">Basic compliance (chatbot detection, patient portal, intake forms, diagnostic tools via pageContext)</w:t>
      </w:r>
    </w:p>
    <w:p>
      <w:pPr>
        <w:pStyle w:val="ListParagraph"/>
        <w:numPr>
          <w:ilvl w:val="0"/>
          <w:numId w:val="2"/>
        </w:numPr>
        <w:spacing w:after="80" w:line="276"/>
      </w:pPr>
      <w:r>
        <w:rPr>
          <w:rFonts w:ascii="Arial" w:cs="Arial" w:eastAsia="Arial" w:hAnsi="Arial"/>
          <w:color w:val="1F2937"/>
          <w:sz w:val="22"/>
          <w:szCs w:val="22"/>
        </w:rPr>
        <w:t xml:space="preserve">AI transparency findings (47K), clinical integrity (76K), data sovereignty (73K)</w:t>
      </w:r>
    </w:p>
    <w:p>
      <w:pPr>
        <w:spacing w:after="0" w:before="100"/>
      </w:pPr>
    </w:p>
    <w:p>
      <w:pPr>
        <w:pStyle w:val="Heading2"/>
        <w:spacing w:after="200" w:before="300"/>
      </w:pPr>
      <w:r>
        <w:t xml:space="preserve">New Crawl Additions Required for Phase 1</w:t>
      </w:r>
    </w:p>
    <w:p>
      <w:pPr>
        <w:spacing w:after="0" w:before="60"/>
      </w:pPr>
    </w:p>
    <w:p>
      <w:pPr>
        <w:spacing w:after="120" w:before="80" w:line="276"/>
        <w:jc w:val="left"/>
      </w:pPr>
      <w:r>
        <w:rPr>
          <w:rFonts w:ascii="Arial" w:cs="Arial" w:eastAsia="Arial" w:hAnsi="Arial"/>
          <w:b/>
          <w:bCs/>
          <w:color w:val="1F2937"/>
          <w:sz w:val="24"/>
          <w:szCs w:val="24"/>
        </w:rPr>
        <w:t xml:space="preserve">a) Accepting New Patients Detection</w:t>
      </w:r>
    </w:p>
    <w:p>
      <w:pPr>
        <w:pStyle w:val="ListParagraph"/>
        <w:numPr>
          <w:ilvl w:val="0"/>
          <w:numId w:val="2"/>
        </w:numPr>
        <w:spacing w:after="80" w:line="276"/>
      </w:pPr>
      <w:r>
        <w:rPr>
          <w:rFonts w:ascii="Arial" w:cs="Arial" w:eastAsia="Arial" w:hAnsi="Arial"/>
          <w:color w:val="1F2937"/>
          <w:sz w:val="22"/>
          <w:szCs w:val="22"/>
        </w:rPr>
        <w:t xml:space="preserve">Scrape website for accepting new patients indicators: “accepting new patients”, “new patients welcome”, “not accepting”, “closed panel”</w:t>
      </w:r>
    </w:p>
    <w:p>
      <w:pPr>
        <w:pStyle w:val="ListParagraph"/>
        <w:numPr>
          <w:ilvl w:val="0"/>
          <w:numId w:val="2"/>
        </w:numPr>
        <w:spacing w:after="80" w:line="276"/>
      </w:pPr>
      <w:r>
        <w:rPr>
          <w:rFonts w:ascii="Arial" w:cs="Arial" w:eastAsia="Arial" w:hAnsi="Arial"/>
          <w:color w:val="1F2937"/>
          <w:sz w:val="22"/>
          <w:szCs w:val="22"/>
        </w:rPr>
        <w:t xml:space="preserve">Compare with payer directory listed_accepting_patients field (currently ALL NULL across all payers)</w:t>
      </w:r>
    </w:p>
    <w:p>
      <w:pPr>
        <w:pStyle w:val="ListParagraph"/>
        <w:numPr>
          <w:ilvl w:val="0"/>
          <w:numId w:val="2"/>
        </w:numPr>
        <w:spacing w:after="80" w:line="276"/>
      </w:pPr>
      <w:r>
        <w:rPr>
          <w:rFonts w:ascii="Arial" w:cs="Arial" w:eastAsia="Arial" w:hAnsi="Arial"/>
          <w:color w:val="1F2937"/>
          <w:sz w:val="22"/>
          <w:szCs w:val="22"/>
        </w:rPr>
        <w:t xml:space="preserve">This becomes a new signal: website says accepting but payer says not (or vice versa)</w:t>
      </w:r>
    </w:p>
    <w:p>
      <w:pPr>
        <w:pStyle w:val="ListParagraph"/>
        <w:numPr>
          <w:ilvl w:val="0"/>
          <w:numId w:val="2"/>
        </w:numPr>
        <w:spacing w:after="80" w:line="276"/>
      </w:pPr>
      <w:r>
        <w:rPr>
          <w:rFonts w:ascii="Arial" w:cs="Arial" w:eastAsia="Arial" w:hAnsi="Arial"/>
          <w:color w:val="1F2937"/>
          <w:sz w:val="22"/>
          <w:szCs w:val="22"/>
        </w:rPr>
        <w:t xml:space="preserve">HIGH VALUE: Providers lose revenue when payer directories show “not accepting” incorrectly</w:t>
      </w:r>
    </w:p>
    <w:p>
      <w:pPr>
        <w:spacing w:after="0" w:before="100"/>
      </w:pPr>
    </w:p>
    <w:p>
      <w:pPr>
        <w:spacing w:after="120" w:before="80" w:line="276"/>
        <w:jc w:val="left"/>
      </w:pPr>
      <w:r>
        <w:rPr>
          <w:rFonts w:ascii="Arial" w:cs="Arial" w:eastAsia="Arial" w:hAnsi="Arial"/>
          <w:b/>
          <w:bCs/>
          <w:color w:val="1F2937"/>
          <w:sz w:val="24"/>
          <w:szCs w:val="24"/>
        </w:rPr>
        <w:t xml:space="preserve">b) Insurance Plans Accepted List Extraction</w:t>
      </w:r>
    </w:p>
    <w:p>
      <w:pPr>
        <w:pStyle w:val="ListParagraph"/>
        <w:numPr>
          <w:ilvl w:val="0"/>
          <w:numId w:val="2"/>
        </w:numPr>
        <w:spacing w:after="80" w:line="276"/>
      </w:pPr>
      <w:r>
        <w:rPr>
          <w:rFonts w:ascii="Arial" w:cs="Arial" w:eastAsia="Arial" w:hAnsi="Arial"/>
          <w:color w:val="1F2937"/>
          <w:sz w:val="22"/>
          <w:szCs w:val="22"/>
        </w:rPr>
        <w:t xml:space="preserve">Parse “Insurance Accepted” / “We Accept” pages on provider websites</w:t>
      </w:r>
    </w:p>
    <w:p>
      <w:pPr>
        <w:pStyle w:val="ListParagraph"/>
        <w:numPr>
          <w:ilvl w:val="0"/>
          <w:numId w:val="2"/>
        </w:numPr>
        <w:spacing w:after="80" w:line="276"/>
      </w:pPr>
      <w:r>
        <w:rPr>
          <w:rFonts w:ascii="Arial" w:cs="Arial" w:eastAsia="Arial" w:hAnsi="Arial"/>
          <w:color w:val="1F2937"/>
          <w:sz w:val="22"/>
          <w:szCs w:val="22"/>
        </w:rPr>
        <w:t xml:space="preserve">Extract list of payer names from website</w:t>
      </w:r>
    </w:p>
    <w:p>
      <w:pPr>
        <w:pStyle w:val="ListParagraph"/>
        <w:numPr>
          <w:ilvl w:val="0"/>
          <w:numId w:val="2"/>
        </w:numPr>
        <w:spacing w:after="80" w:line="276"/>
      </w:pPr>
      <w:r>
        <w:rPr>
          <w:rFonts w:ascii="Arial" w:cs="Arial" w:eastAsia="Arial" w:hAnsi="Arial"/>
          <w:color w:val="1F2937"/>
          <w:sz w:val="22"/>
          <w:szCs w:val="22"/>
        </w:rPr>
        <w:t xml:space="preserve">Cross-reference against payer directory listings (is the provider listed on payers they claim to accept?)</w:t>
      </w:r>
    </w:p>
    <w:p>
      <w:pPr>
        <w:pStyle w:val="ListParagraph"/>
        <w:numPr>
          <w:ilvl w:val="0"/>
          <w:numId w:val="2"/>
        </w:numPr>
        <w:spacing w:after="80" w:line="276"/>
      </w:pPr>
      <w:r>
        <w:rPr>
          <w:rFonts w:ascii="Arial" w:cs="Arial" w:eastAsia="Arial" w:hAnsi="Arial"/>
          <w:color w:val="1F2937"/>
          <w:sz w:val="22"/>
          <w:szCs w:val="22"/>
        </w:rPr>
        <w:t xml:space="preserve">This drives payer discovery: tells us which payers to prioritize API development for</w:t>
      </w:r>
    </w:p>
    <w:p>
      <w:pPr>
        <w:spacing w:after="0" w:before="100"/>
      </w:pPr>
    </w:p>
    <w:p>
      <w:pPr>
        <w:spacing w:after="120" w:before="80" w:line="276"/>
        <w:jc w:val="left"/>
      </w:pPr>
      <w:r>
        <w:rPr>
          <w:rFonts w:ascii="Arial" w:cs="Arial" w:eastAsia="Arial" w:hAnsi="Arial"/>
          <w:b/>
          <w:bCs/>
          <w:color w:val="1F2937"/>
          <w:sz w:val="24"/>
          <w:szCs w:val="24"/>
        </w:rPr>
        <w:t xml:space="preserve">c) AI Tool Detection (Signal #13) - Deep Analysis</w:t>
      </w:r>
    </w:p>
    <w:p>
      <w:pPr>
        <w:spacing w:after="160" w:before="0" w:line="276"/>
        <w:jc w:val="left"/>
      </w:pPr>
      <w:r>
        <w:rPr>
          <w:rFonts w:ascii="Arial" w:cs="Arial" w:eastAsia="Arial" w:hAnsi="Arial"/>
          <w:b w:val="false"/>
          <w:bCs w:val="false"/>
          <w:i w:val="false"/>
          <w:iCs w:val="false"/>
          <w:color w:val="1F2937"/>
          <w:sz w:val="22"/>
          <w:szCs w:val="22"/>
        </w:rPr>
        <w:t xml:space="preserve">Create a vendor fingerprint library with detection methods: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136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Indicators</w:t>
            </w:r>
          </w:p>
        </w:tc>
        <w:tc>
          <w:tcPr>
            <w:tcW w:type="dxa" w:w="1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Healow</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iframe src, JS bundle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healow.com domains, ecw- prefixed elements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HIGH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Healthie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API calls, embed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healthie.com API calls, data-healthie attributes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HIGH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Phreesia</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iframe, script tags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phreesia.com, phreesia-intake scripts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HIGH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Klara</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Widget embed, API</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klara.com scripts, klaraconnect embed</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HIGH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Luma Health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Script injection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lumahealth.io domains, luma-widget</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HIGH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NexHealth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iframe, API calls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nexhealth.com, nexhealth-booking</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059669"/>
                <w:sz w:val="20"/>
                <w:szCs w:val="20"/>
              </w:rPr>
              <w:t xml:space="preserve">HIGH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SimplePractice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Client portal embed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simplepractice.com iframes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MEDIUM</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Zocdoc</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Widget/badge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zocdoc.com widgets, booking-widget</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MEDIUM</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Athenahealth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Patient portal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athenahealth.com, athena-portal links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MEDIUM</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DrChrono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iframe embed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drchrono.com, onpatient portal links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MEDIUM</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Tebra (Kareo)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Script, portal links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tebra.com, kareo.com portal links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MEDIUM</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Doxy.me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Telehealth embed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doxy.me room links</w:t>
            </w:r>
          </w:p>
        </w:tc>
        <w:tc>
          <w:tcPr>
            <w:tcW w:type="dxa" w:w="1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MEDIUM</w:t>
            </w:r>
          </w:p>
        </w:tc>
      </w:tr>
    </w:tbl>
    <w:p>
      <w:pPr>
        <w:spacing w:after="0" w:before="100"/>
      </w:pPr>
    </w:p>
    <w:p>
      <w:pPr>
        <w:spacing w:after="160" w:before="0" w:line="276"/>
        <w:jc w:val="left"/>
      </w:pPr>
      <w:r>
        <w:rPr>
          <w:rFonts w:ascii="Arial" w:cs="Arial" w:eastAsia="Arial" w:hAnsi="Arial"/>
          <w:b w:val="false"/>
          <w:bCs w:val="false"/>
          <w:i w:val="false"/>
          <w:iCs w:val="false"/>
          <w:color w:val="1F2937"/>
          <w:sz w:val="22"/>
          <w:szCs w:val="22"/>
        </w:rPr>
        <w:t xml:space="preserve">Detection techniques:</w:t>
      </w:r>
    </w:p>
    <w:p>
      <w:pPr>
        <w:pStyle w:val="ListParagraph"/>
        <w:numPr>
          <w:ilvl w:val="0"/>
          <w:numId w:val="2"/>
        </w:numPr>
        <w:spacing w:after="80" w:line="276"/>
      </w:pPr>
      <w:r>
        <w:rPr>
          <w:rFonts w:ascii="Arial" w:cs="Arial" w:eastAsia="Arial" w:hAnsi="Arial"/>
          <w:color w:val="1F2937"/>
          <w:sz w:val="22"/>
          <w:szCs w:val="22"/>
        </w:rPr>
        <w:t xml:space="preserve">1. JavaScript Dependency Analysis: Parse loaded JS files, detect vendor-specific bundles</w:t>
      </w:r>
    </w:p>
    <w:p>
      <w:pPr>
        <w:pStyle w:val="ListParagraph"/>
        <w:numPr>
          <w:ilvl w:val="0"/>
          <w:numId w:val="2"/>
        </w:numPr>
        <w:spacing w:after="80" w:line="276"/>
      </w:pPr>
      <w:r>
        <w:rPr>
          <w:rFonts w:ascii="Arial" w:cs="Arial" w:eastAsia="Arial" w:hAnsi="Arial"/>
          <w:color w:val="1F2937"/>
          <w:sz w:val="22"/>
          <w:szCs w:val="22"/>
        </w:rPr>
        <w:t xml:space="preserve">2. iframe/Embed Detection: Scan all iframes and embedded objects for vendor domains</w:t>
      </w:r>
    </w:p>
    <w:p>
      <w:pPr>
        <w:pStyle w:val="ListParagraph"/>
        <w:numPr>
          <w:ilvl w:val="0"/>
          <w:numId w:val="2"/>
        </w:numPr>
        <w:spacing w:after="80" w:line="276"/>
      </w:pPr>
      <w:r>
        <w:rPr>
          <w:rFonts w:ascii="Arial" w:cs="Arial" w:eastAsia="Arial" w:hAnsi="Arial"/>
          <w:color w:val="1F2937"/>
          <w:sz w:val="22"/>
          <w:szCs w:val="22"/>
        </w:rPr>
        <w:t xml:space="preserve">3. API Call Interception: Monitor XHR/fetch calls to vendor endpoints during page load</w:t>
      </w:r>
    </w:p>
    <w:p>
      <w:pPr>
        <w:pStyle w:val="ListParagraph"/>
        <w:numPr>
          <w:ilvl w:val="0"/>
          <w:numId w:val="2"/>
        </w:numPr>
        <w:spacing w:after="80" w:line="276"/>
      </w:pPr>
      <w:r>
        <w:rPr>
          <w:rFonts w:ascii="Arial" w:cs="Arial" w:eastAsia="Arial" w:hAnsi="Arial"/>
          <w:color w:val="1F2937"/>
          <w:sz w:val="22"/>
          <w:szCs w:val="22"/>
        </w:rPr>
        <w:t xml:space="preserve">4. Cookie/Tracker Analysis: Identify vendor-specific cookies and tracking pixels</w:t>
      </w:r>
    </w:p>
    <w:p>
      <w:pPr>
        <w:pStyle w:val="ListParagraph"/>
        <w:numPr>
          <w:ilvl w:val="0"/>
          <w:numId w:val="2"/>
        </w:numPr>
        <w:spacing w:after="80" w:line="276"/>
      </w:pPr>
      <w:r>
        <w:rPr>
          <w:rFonts w:ascii="Arial" w:cs="Arial" w:eastAsia="Arial" w:hAnsi="Arial"/>
          <w:color w:val="1F2937"/>
          <w:sz w:val="22"/>
          <w:szCs w:val="22"/>
        </w:rPr>
        <w:t xml:space="preserve">5. DOM Element Fingerprinting: Search for vendor-specific CSS classes, data attributes, element IDs</w:t>
      </w:r>
    </w:p>
    <w:p>
      <w:pPr>
        <w:pStyle w:val="ListParagraph"/>
        <w:numPr>
          <w:ilvl w:val="0"/>
          <w:numId w:val="2"/>
        </w:numPr>
        <w:spacing w:after="80" w:line="276"/>
      </w:pPr>
      <w:r>
        <w:rPr>
          <w:rFonts w:ascii="Arial" w:cs="Arial" w:eastAsia="Arial" w:hAnsi="Arial"/>
          <w:color w:val="1F2937"/>
          <w:sz w:val="22"/>
          <w:szCs w:val="22"/>
        </w:rPr>
        <w:t xml:space="preserve">6. Meta Tag / Header Analysis: Check for vendor-injected meta tags or HTTP headers</w:t>
      </w:r>
    </w:p>
    <w:p>
      <w:pPr>
        <w:spacing w:after="0" w:before="100"/>
      </w:pPr>
    </w:p>
    <w:p>
      <w:pPr>
        <w:spacing w:after="120" w:before="80" w:line="276"/>
        <w:jc w:val="left"/>
      </w:pPr>
      <w:r>
        <w:rPr>
          <w:rFonts w:ascii="Arial" w:cs="Arial" w:eastAsia="Arial" w:hAnsi="Arial"/>
          <w:b/>
          <w:bCs/>
          <w:color w:val="1F2937"/>
          <w:sz w:val="24"/>
          <w:szCs w:val="24"/>
        </w:rPr>
        <w:t xml:space="preserve">d) Three-Way Comparison Engine</w:t>
      </w:r>
    </w:p>
    <w:p>
      <w:pPr>
        <w:pStyle w:val="ListParagraph"/>
        <w:numPr>
          <w:ilvl w:val="0"/>
          <w:numId w:val="2"/>
        </w:numPr>
        <w:spacing w:after="80" w:line="276"/>
      </w:pPr>
      <w:r>
        <w:rPr>
          <w:rFonts w:ascii="Arial" w:cs="Arial" w:eastAsia="Arial" w:hAnsi="Arial"/>
          <w:color w:val="1F2937"/>
          <w:sz w:val="22"/>
          <w:szCs w:val="22"/>
        </w:rPr>
        <w:t xml:space="preserve">For each provider with a website URL, compare: Website data vs NPPES data vs Payer Directory data</w:t>
      </w:r>
    </w:p>
    <w:p>
      <w:pPr>
        <w:pStyle w:val="ListParagraph"/>
        <w:numPr>
          <w:ilvl w:val="0"/>
          <w:numId w:val="2"/>
        </w:numPr>
        <w:spacing w:after="80" w:line="276"/>
      </w:pPr>
      <w:r>
        <w:rPr>
          <w:rFonts w:ascii="Arial" w:cs="Arial" w:eastAsia="Arial" w:hAnsi="Arial"/>
          <w:color w:val="1F2937"/>
          <w:sz w:val="22"/>
          <w:szCs w:val="22"/>
        </w:rPr>
        <w:t xml:space="preserve">Fields compared: Address, Phone, Specialty, Accepting Patients</w:t>
      </w:r>
    </w:p>
    <w:p>
      <w:pPr>
        <w:pStyle w:val="ListParagraph"/>
        <w:numPr>
          <w:ilvl w:val="0"/>
          <w:numId w:val="2"/>
        </w:numPr>
        <w:spacing w:after="80" w:line="276"/>
      </w:pPr>
      <w:r>
        <w:rPr>
          <w:rFonts w:ascii="Arial" w:cs="Arial" w:eastAsia="Arial" w:hAnsi="Arial"/>
          <w:color w:val="1F2937"/>
          <w:sz w:val="22"/>
          <w:szCs w:val="22"/>
        </w:rPr>
        <w:t xml:space="preserve">Generate a comparison matrix per provider</w:t>
      </w:r>
    </w:p>
    <w:p>
      <w:pPr>
        <w:pStyle w:val="ListParagraph"/>
        <w:numPr>
          <w:ilvl w:val="0"/>
          <w:numId w:val="2"/>
        </w:numPr>
        <w:spacing w:after="80" w:line="276"/>
      </w:pPr>
      <w:r>
        <w:rPr>
          <w:rFonts w:ascii="Arial" w:cs="Arial" w:eastAsia="Arial" w:hAnsi="Arial"/>
          <w:color w:val="1F2937"/>
          <w:sz w:val="22"/>
          <w:szCs w:val="22"/>
        </w:rPr>
        <w:t xml:space="preserve">This is KairoLogic’s unique differentiator — no other tool does this three-way comparison</w:t>
      </w:r>
    </w:p>
    <w:p>
      <w:pPr>
        <w:spacing w:after="0" w:before="100"/>
      </w:pPr>
    </w:p>
    <w:p>
      <w:r>
        <w:br w:type="page"/>
      </w:r>
    </w:p>
    <w:p>
      <w:pPr>
        <w:pStyle w:val="Heading1"/>
        <w:spacing w:after="200" w:before="300"/>
      </w:pPr>
      <w:r>
        <w:t xml:space="preserve">8. Expanded Texas Payer Landscape</w:t>
      </w:r>
    </w:p>
    <w:p>
      <w:pPr>
        <w:spacing w:after="160" w:before="0" w:line="276"/>
        <w:jc w:val="left"/>
      </w:pPr>
      <w:r>
        <w:rPr>
          <w:rFonts w:ascii="Arial" w:cs="Arial" w:eastAsia="Arial" w:hAnsi="Arial"/>
          <w:b w:val="false"/>
          <w:bCs w:val="false"/>
          <w:i w:val="false"/>
          <w:iCs w:val="false"/>
          <w:color w:val="1F2937"/>
          <w:sz w:val="22"/>
          <w:szCs w:val="22"/>
        </w:rPr>
        <w:t xml:space="preserve">The original Phase 1 plan covered 6 payers. Expanded research and the website crawl “Insurance Accepted” extraction reveal a much deeper Texas payer ecosystem. This table reflects payers KairoLogic should prioritize for API integration.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900"/>
        <w:gridCol w:w="900"/>
        <w:gridCol w:w="900"/>
        <w:gridCol w:w="1000"/>
        <w:gridCol w:w="1460"/>
      </w:tblGrid>
      <w:t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Payer</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TX Lives (est.)</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API Type</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9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Humana</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60rpm</w:t>
            </w:r>
          </w:p>
        </w:tc>
        <w:tc>
          <w:tcPr>
            <w:tcW w:type="dxa" w:w="10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ACTIVE</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Aetna</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OAuth2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30rpm</w:t>
            </w:r>
          </w:p>
        </w:tc>
        <w:tc>
          <w:tcPr>
            <w:tcW w:type="dxa" w:w="10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ACTIVE</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UHC/Optum</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800K+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60rpm</w:t>
            </w:r>
          </w:p>
        </w:tc>
        <w:tc>
          <w:tcPr>
            <w:tcW w:type="dxa" w:w="10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ACTIVE</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Cigna</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350K+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30rpm</w:t>
            </w:r>
          </w:p>
        </w:tc>
        <w:tc>
          <w:tcPr>
            <w:tcW w:type="dxa" w:w="10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ACTIVE (name-based)</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BCBS TX (HCSC)</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1M+</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Scrape/FHIR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10rpm</w:t>
            </w:r>
          </w:p>
        </w:tc>
        <w:tc>
          <w:tcPr>
            <w:tcW w:type="dxa" w:w="10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PENDING FHIR</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CMS Medicare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3M+</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 limit</w:t>
            </w:r>
          </w:p>
        </w:tc>
        <w:tc>
          <w:tcPr>
            <w:tcW w:type="dxa" w:w="1000"/>
            <w:tcBorders>
              <w:top w:val="single" w:color="D1D5DB" w:sz="1"/>
              <w:left w:val="single" w:color="D1D5DB" w:sz="1"/>
              <w:bottom w:val="single" w:color="D1D5DB" w:sz="1"/>
              <w:right w:val="single" w:color="D1D5DB" w:sz="1"/>
            </w:tcBorders>
            <w:shd w:fill="05966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ACTIVE</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Centene/Superior</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1.8M+ (largest TX Medicaid MCO)</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CONFIRMED FHIR API</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Molina Healthcare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RESEARCH NEEDED</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Texas Children’s Health Plan</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Unknown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RESEARCH NEEDED</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Aetna Better Health (TX Medicaid)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 (via Aetna)</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OAuth2</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30rpm</w:t>
            </w:r>
          </w:p>
        </w:tc>
        <w:tc>
          <w:tcPr>
            <w:tcW w:type="dxa" w:w="10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LIKELY AVAILABLE</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AmeriHealth Caritas TX</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Unknown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RESEARCH NEEDED</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Wellcare (Centene)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250K+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FHIR (via Centene)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D9770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LIKELY AVAILABLE</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Devoted Health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Unknown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RESEARCH NEEDED</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Baylor Scott &amp; White</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Unknown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RESEARCH NEEDED</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CHRISTUS Health Plan</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200K+</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Unknown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TBD</w:t>
            </w:r>
          </w:p>
        </w:tc>
        <w:tc>
          <w:tcPr>
            <w:tcW w:type="dxa" w:w="10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pPr>
              <w:jc w:val="left"/>
            </w:pPr>
            <w:r>
              <w:rPr>
                <w:rFonts w:ascii="Arial" w:cs="Arial" w:eastAsia="Arial" w:hAnsi="Arial"/>
                <w:b/>
                <w:bCs/>
                <w:color w:val="1F2937"/>
                <w:sz w:val="20"/>
                <w:szCs w:val="20"/>
              </w:rPr>
              <w:t xml:space="preserve">RESEARCH NEEDED</w:t>
            </w:r>
          </w:p>
        </w:tc>
        <w:tc>
          <w:tcPr>
            <w:tcW w:type="dxa" w:w="14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r>
    </w:tbl>
    <w:p>
      <w:pPr>
        <w:spacing w:after="0" w:before="120"/>
      </w:pPr>
    </w:p>
    <w:p>
      <w:pPr>
        <w:pStyle w:val="Heading2"/>
        <w:spacing w:after="200" w:before="300"/>
      </w:pPr>
      <w:r>
        <w:t xml:space="preserve">Payer Discovery via Website Crawl</w:t>
      </w:r>
    </w:p>
    <w:p>
      <w:pPr>
        <w:spacing w:after="160" w:before="0" w:line="276"/>
        <w:jc w:val="left"/>
      </w:pPr>
      <w:r>
        <w:rPr>
          <w:rFonts w:ascii="Arial" w:cs="Arial" w:eastAsia="Arial" w:hAnsi="Arial"/>
          <w:b/>
          <w:bCs/>
          <w:color w:val="1F2937"/>
          <w:sz w:val="22"/>
          <w:szCs w:val="22"/>
        </w:rPr>
        <w:t xml:space="preserve">Website crawl as payer discovery: </w:t>
      </w:r>
      <w:r>
        <w:rPr>
          <w:rFonts w:ascii="Arial" w:cs="Arial" w:eastAsia="Arial" w:hAnsi="Arial"/>
          <w:color w:val="1F2937"/>
          <w:sz w:val="22"/>
          <w:szCs w:val="22"/>
        </w:rPr>
        <w:t xml:space="preserve">By extracting the “Insurance Accepted” list from provider websites, we can identify which payers are most commonly listed. This data-driven approach tells us exactly which new payer APIs to prioritize. If 40% of TX provider websites list Superior HealthPlan (Centene), that’s a strong signal to fast-track Centene’s FHIR API integration.</w:t>
      </w:r>
    </w:p>
    <w:p>
      <w:r>
        <w:br w:type="page"/>
      </w:r>
    </w:p>
    <w:p>
      <w:pPr>
        <w:pStyle w:val="Heading1"/>
        <w:spacing w:after="200" w:before="300"/>
      </w:pPr>
      <w:r>
        <w:t xml:space="preserve">9. Extensively Revised Phase 1 Task List</w:t>
      </w:r>
    </w:p>
    <w:p>
      <w:pPr>
        <w:spacing w:after="160" w:before="0" w:line="276"/>
        <w:jc w:val="left"/>
      </w:pPr>
      <w:r>
        <w:rPr>
          <w:rFonts w:ascii="Arial" w:cs="Arial" w:eastAsia="Arial" w:hAnsi="Arial"/>
          <w:b w:val="false"/>
          <w:bCs w:val="false"/>
          <w:i w:val="false"/>
          <w:iCs w:val="false"/>
          <w:color w:val="1F2937"/>
          <w:sz w:val="22"/>
          <w:szCs w:val="22"/>
        </w:rPr>
        <w:t xml:space="preserve">Phase 1 is now broken into four sub-phases with full detail. Phase 1A (Weeks 1-8) follows a sequential 4-step approach: Step 1 gathers data (website crawl infrastructure and initial payer syncs in parallel), Step 2 discovers new payers, Step 3 integrates expanded payer APIs, and Step 4 runs the three-way comparison and health scoring. Phase 1B (Weeks 5-7) builds the backend API layer. Phase 1C (Weeks 7-9) builds the frontend. Phase 1D (Weeks 9-11) adds viral mechanics.</w:t>
      </w:r>
    </w:p>
    <w:p>
      <w:pPr>
        <w:spacing w:after="0" w:before="80"/>
      </w:pPr>
    </w:p>
    <w:p>
      <w:pPr>
        <w:spacing w:after="80" w:before="40" w:line="276"/>
        <w:jc w:val="left"/>
      </w:pPr>
      <w:r>
        <w:rPr>
          <w:rFonts w:ascii="Arial" w:cs="Arial" w:eastAsia="Arial" w:hAnsi="Arial"/>
          <w:b/>
          <w:bCs/>
          <w:color w:val="1B2A4A"/>
          <w:sz w:val="24"/>
          <w:szCs w:val="24"/>
        </w:rPr>
        <w:t xml:space="preserve">Phase 1A: Sequential Data Foundation - 4-Step Approach (Weeks 1-8)</w:t>
      </w:r>
    </w:p>
    <w:p>
      <w:pPr>
        <w:spacing w:after="160" w:before="0" w:line="276"/>
        <w:jc w:val="left"/>
      </w:pPr>
      <w:r>
        <w:rPr>
          <w:rFonts w:ascii="Arial" w:cs="Arial" w:eastAsia="Arial" w:hAnsi="Arial"/>
          <w:b w:val="false"/>
          <w:bCs w:val="false"/>
          <w:i w:val="false"/>
          <w:iCs w:val="false"/>
          <w:color w:val="1F2937"/>
          <w:sz w:val="22"/>
          <w:szCs w:val="22"/>
        </w:rPr>
        <w:t xml:space="preserve">Phase 1A follows a sequential flow: gather data → discover payers → integrate new payers → run comparison. While tasks within each step run in parallel, the overall flow is strictly sequential to maximize data quality and decision-making.</w:t>
      </w:r>
    </w:p>
    <w:p>
      <w:pPr>
        <w:spacing w:after="0" w:before="60"/>
      </w:pPr>
    </w:p>
    <w:p>
      <w:pPr>
        <w:spacing w:after="80" w:before="0" w:line="276"/>
        <w:jc w:val="left"/>
      </w:pPr>
      <w:r>
        <w:rPr>
          <w:rFonts w:ascii="Arial" w:cs="Arial" w:eastAsia="Arial" w:hAnsi="Arial"/>
          <w:b/>
          <w:bCs/>
          <w:color w:val="0D9488"/>
          <w:sz w:val="22"/>
          <w:szCs w:val="22"/>
        </w:rPr>
        <w:t xml:space="preserve">Step 1: Parallel Foundation (Weeks 1-4) - Data Gathering &amp; Initial Syncs</w:t>
      </w:r>
    </w:p>
    <w:p>
      <w:pPr>
        <w:spacing w:after="160" w:before="0" w:line="276"/>
        <w:jc w:val="left"/>
      </w:pPr>
      <w:r>
        <w:rPr>
          <w:rFonts w:ascii="Arial" w:cs="Arial" w:eastAsia="Arial" w:hAnsi="Arial"/>
          <w:b w:val="false"/>
          <w:bCs w:val="false"/>
          <w:i w:val="false"/>
          <w:iCs w:val="false"/>
          <w:color w:val="1F2937"/>
          <w:sz w:val="22"/>
          <w:szCs w:val="22"/>
        </w:rPr>
        <w:t xml:space="preserve">These tasks all run in parallel: TMB re-sync, website crawl infrastructure setup, and initial payer syncs for the existing 6 payers.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Re-sync TMB license data for all TX providers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Ingest OIG LEIE exclusion list, match on NPI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Upgrade website scanner to capture “accepting new patients” indicators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insurance plan extraction module - parse “Insurance Accepted” pages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AI tool detection engine with vendor fingerprint library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Create ai_tools_detected table in Supabase (npi, tool_name, tool_vendor, detection_method, confidence_score, detected_at)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day</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7</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Run enhanced crawl on all 39,602 TX providers with URLs (2-week running time)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weeks running</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3-6</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8</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bulk payer sync job: Humana FHIR API for TX licensed NPIs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9</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Run bulk payer sync: Aetna (OAuth2), UHC, Cigna, BCBS TX, Medicare for TX licensed NPIs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 running</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8</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Set up NPPES weekly delta feed ingestion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11</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Set up TMB weekly re-sync cron job</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day</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1</w:t>
            </w:r>
          </w:p>
        </w:tc>
      </w:tr>
    </w:tbl>
    <w:p>
      <w:pPr>
        <w:spacing w:after="0" w:before="120"/>
      </w:pPr>
    </w:p>
    <w:p>
      <w:pPr>
        <w:spacing w:after="80" w:before="0" w:line="276"/>
        <w:jc w:val="left"/>
      </w:pPr>
      <w:r>
        <w:rPr>
          <w:rFonts w:ascii="Arial" w:cs="Arial" w:eastAsia="Arial" w:hAnsi="Arial"/>
          <w:b/>
          <w:bCs/>
          <w:color w:val="0D9488"/>
          <w:sz w:val="22"/>
          <w:szCs w:val="22"/>
        </w:rPr>
        <w:t xml:space="preserve">Step 2: Payer Discovery (Week 4-5) - Analyze &amp; Prioritize New Payers</w:t>
      </w:r>
    </w:p>
    <w:p>
      <w:pPr>
        <w:spacing w:after="160" w:before="0" w:line="276"/>
        <w:jc w:val="left"/>
      </w:pPr>
      <w:r>
        <w:rPr>
          <w:rFonts w:ascii="Arial" w:cs="Arial" w:eastAsia="Arial" w:hAnsi="Arial"/>
          <w:b w:val="false"/>
          <w:bCs w:val="false"/>
          <w:i w:val="false"/>
          <w:iCs w:val="false"/>
          <w:color w:val="1F2937"/>
          <w:sz w:val="22"/>
          <w:szCs w:val="22"/>
        </w:rPr>
        <w:t xml:space="preserve">With fresh website crawl results in hand, analyze the “Insurance Accepted” data to discover which additional TX payers appear most frequently and are worth pursuing for API integration.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Analyze crawl results to identify payer priority list from “Insurance Accepted” data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Product</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day</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7</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13</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Research and confirm API availability for top-priority new payers (Centene/Superior confirmed FHIR, others TBD)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 + BizDev</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12</w:t>
            </w:r>
          </w:p>
        </w:tc>
      </w:tr>
    </w:tbl>
    <w:p>
      <w:pPr>
        <w:spacing w:after="0" w:before="120"/>
      </w:pPr>
    </w:p>
    <w:p>
      <w:pPr>
        <w:spacing w:after="80" w:before="0" w:line="276"/>
        <w:jc w:val="left"/>
      </w:pPr>
      <w:r>
        <w:rPr>
          <w:rFonts w:ascii="Arial" w:cs="Arial" w:eastAsia="Arial" w:hAnsi="Arial"/>
          <w:b/>
          <w:bCs/>
          <w:color w:val="0D9488"/>
          <w:sz w:val="22"/>
          <w:szCs w:val="22"/>
        </w:rPr>
        <w:t xml:space="preserve">Step 3: Expanded Payer Integration (Weeks 5-7) - Wire Up New APIs &amp; Run Syncs</w:t>
      </w:r>
    </w:p>
    <w:p>
      <w:pPr>
        <w:spacing w:after="160" w:before="0" w:line="276"/>
        <w:jc w:val="left"/>
      </w:pPr>
      <w:r>
        <w:rPr>
          <w:rFonts w:ascii="Arial" w:cs="Arial" w:eastAsia="Arial" w:hAnsi="Arial"/>
          <w:b w:val="false"/>
          <w:bCs w:val="false"/>
          <w:i w:val="false"/>
          <w:iCs w:val="false"/>
          <w:color w:val="1F2937"/>
          <w:sz w:val="22"/>
          <w:szCs w:val="22"/>
        </w:rPr>
        <w:t xml:space="preserve">Integrate newly identified high-value payers (Centene/Superior first since FHIR confirmed), run bulk syncs, and debug field population issues across all payer sources.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14</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Integrate Centene/Superior HealthPlan FHIR API</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 + BizDev</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13</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15</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Run bulk payer sync for newly integrated payers against TX licensed NPIs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 running</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14</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16</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Debug payer FHIR parsing - fix field population gaps across all payers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9, 15</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17</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BCBS TX: secure FHIR credentials OR build scraper fallback</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 + BizDev</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1-2 weeks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Credentials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18</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Integrate CMS Medicare FHIR API for TX providers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8</w:t>
            </w:r>
          </w:p>
        </w:tc>
      </w:tr>
    </w:tbl>
    <w:p>
      <w:pPr>
        <w:spacing w:after="0" w:before="120"/>
      </w:pPr>
    </w:p>
    <w:p>
      <w:pPr>
        <w:spacing w:after="80" w:before="0" w:line="276"/>
        <w:jc w:val="left"/>
      </w:pPr>
      <w:r>
        <w:rPr>
          <w:rFonts w:ascii="Arial" w:cs="Arial" w:eastAsia="Arial" w:hAnsi="Arial"/>
          <w:b/>
          <w:bCs/>
          <w:color w:val="0D9488"/>
          <w:sz w:val="22"/>
          <w:szCs w:val="22"/>
        </w:rPr>
        <w:t xml:space="preserve">Step 4: Three-Way Comparison &amp; Health Scores (Weeks 7-8) - Comprehensive Analysis</w:t>
      </w:r>
    </w:p>
    <w:p>
      <w:pPr>
        <w:spacing w:after="160" w:before="0" w:line="276"/>
        <w:jc w:val="left"/>
      </w:pPr>
      <w:r>
        <w:rPr>
          <w:rFonts w:ascii="Arial" w:cs="Arial" w:eastAsia="Arial" w:hAnsi="Arial"/>
          <w:b w:val="false"/>
          <w:bCs w:val="false"/>
          <w:i w:val="false"/>
          <w:iCs w:val="false"/>
          <w:color w:val="1F2937"/>
          <w:sz w:val="22"/>
          <w:szCs w:val="22"/>
        </w:rPr>
        <w:t xml:space="preserve">Now with fresh website data, fresh NPPES/TMB, AND expanded payer coverage (10-12 payers instead of 6), build and run the three-way comparison engine. The comparison is only as good as the payer coverage behind it — running it after payer expansion gives far more credible results.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19</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three-way comparison engine: Website vs NPPES vs Payer Directory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7</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website crawl scheduling (weekly re-crawl for TX providers)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7</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21</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mismatch computation engine: run three-way comparison across all providers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16, 19</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22</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Capture all deltas: address, phone, specialty mismatches, accepting-patients conflicts, listed/not-listed gaps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21</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23</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Generate Provider Health Scores based on comprehensive data (0-100)</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21-22</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24</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data freshness monitoring dashboard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10-11</w:t>
            </w:r>
          </w:p>
        </w:tc>
      </w:tr>
    </w:tbl>
    <w:p>
      <w:pPr>
        <w:spacing w:after="0" w:before="120"/>
      </w:pPr>
    </w:p>
    <w:p>
      <w:pPr>
        <w:spacing w:after="80" w:before="40" w:line="276"/>
        <w:jc w:val="left"/>
      </w:pPr>
      <w:r>
        <w:rPr>
          <w:rFonts w:ascii="Arial" w:cs="Arial" w:eastAsia="Arial" w:hAnsi="Arial"/>
          <w:b/>
          <w:bCs/>
          <w:color w:val="1B2A4A"/>
          <w:sz w:val="24"/>
          <w:szCs w:val="24"/>
        </w:rPr>
        <w:t xml:space="preserve">Phase 1B: Backend API Layer (Weeks 5-7)</w:t>
      </w:r>
    </w:p>
    <w:p>
      <w:pPr>
        <w:spacing w:after="160" w:before="0" w:line="276"/>
        <w:jc w:val="left"/>
      </w:pPr>
      <w:r>
        <w:rPr>
          <w:rFonts w:ascii="Arial" w:cs="Arial" w:eastAsia="Arial" w:hAnsi="Arial"/>
          <w:b w:val="false"/>
          <w:bCs w:val="false"/>
          <w:i w:val="false"/>
          <w:iCs w:val="false"/>
          <w:color w:val="1F2937"/>
          <w:sz w:val="22"/>
          <w:szCs w:val="22"/>
        </w:rPr>
        <w:t xml:space="preserve">These APIs serve the free tool frontend. They read from the pre-populated data. They are also the same endpoints that become the external API product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25</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/api/verify/license endpoint: NPI input → license status, expiry, renewal, disciplinary flags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1</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26</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/api/verify/disciplinary endpoint: NPI → board actions, OIG exclusions, TMB releases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2</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27</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/api/verify/pecos endpoint: NPI → Medicare enrollment status, specialty, reassignment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day</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28</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/api/verify/nppes endpoint: NPI → provider identity, address, phone, taxonomy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day</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29</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/api/verify/payer-listing endpoint: NPI + payer_code → listing status, address, phone, specialty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16</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30</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/api/verify/mismatches endpoint: NPI → all payer mismatches for that provider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21</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31</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/api/verify/website-compliance endpoint - includes AI tools, accepting patients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7</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32</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/api/score/provider endpoint - composite health score 0-100</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23</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33</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/api/compare/three-way endpoint - website vs NPPES vs payer comparison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19</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34</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Implement rate limiting for free tool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None</w:t>
            </w:r>
          </w:p>
        </w:tc>
      </w:tr>
    </w:tbl>
    <w:p>
      <w:pPr>
        <w:spacing w:after="0" w:before="120"/>
      </w:pPr>
    </w:p>
    <w:p>
      <w:pPr>
        <w:spacing w:after="80" w:before="40" w:line="276"/>
        <w:jc w:val="left"/>
      </w:pPr>
      <w:r>
        <w:rPr>
          <w:rFonts w:ascii="Arial" w:cs="Arial" w:eastAsia="Arial" w:hAnsi="Arial"/>
          <w:b/>
          <w:bCs/>
          <w:color w:val="1B2A4A"/>
          <w:sz w:val="24"/>
          <w:szCs w:val="24"/>
        </w:rPr>
        <w:t xml:space="preserve">Phase 1C: Frontend Free Tool (Weeks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35</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Design and build homepage NPI search component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28</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36</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results page: license, disciplinary, PECOS, NPPES cards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25-28</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37</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payer directory results with “Preview” gating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29</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38</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website compliance card: AI tools detected, accepting patients, three-way comparison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31, 33</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39</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Provider Health Score widget with signup CTA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 + Design</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32</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40</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Implement gating: 1 NPI free, second NPI → signup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Full-stack</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35-38</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41</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ad landing page variant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 + Design</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35-38</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42</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Set up conversion tracking and funnel analytics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Full-stack</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40</w:t>
            </w:r>
          </w:p>
        </w:tc>
      </w:tr>
    </w:tbl>
    <w:p>
      <w:pPr>
        <w:spacing w:after="0" w:before="120"/>
      </w:pPr>
    </w:p>
    <w:p>
      <w:pPr>
        <w:spacing w:after="80" w:before="200" w:line="276"/>
        <w:jc w:val="left"/>
      </w:pPr>
      <w:r>
        <w:rPr>
          <w:rFonts w:ascii="Arial" w:cs="Arial" w:eastAsia="Arial" w:hAnsi="Arial"/>
          <w:b/>
          <w:bCs/>
          <w:color w:val="1B2A4A"/>
          <w:sz w:val="24"/>
          <w:szCs w:val="24"/>
        </w:rPr>
        <w:t xml:space="preserve">Phase 1C+: Data-Driven Hero Section — AI Question Engine (Weeks 8-9)</w:t>
      </w:r>
    </w:p>
    <w:p>
      <w:pPr>
        <w:spacing w:after="80" w:line="276"/>
      </w:pPr>
      <w:r>
        <w:rPr>
          <w:rFonts w:ascii="Arial" w:cs="Arial" w:eastAsia="Arial" w:hAnsi="Arial"/>
          <w:b/>
          <w:bCs/>
          <w:color w:val="0D9488"/>
          <w:sz w:val="20"/>
          <w:szCs w:val="20"/>
        </w:rPr>
        <w:t xml:space="preserve">DESIGN DECISION (April 2026)</w:t>
      </w:r>
    </w:p>
    <w:p>
      <w:pPr>
        <w:spacing w:after="120" w:line="276"/>
      </w:pPr>
      <w:r>
        <w:rPr>
          <w:rFonts w:ascii="Arial" w:cs="Arial" w:eastAsia="Arial" w:hAnsi="Arial"/>
          <w:sz w:val="20"/>
          <w:szCs w:val="20"/>
        </w:rPr>
        <w:t xml:space="preserve">The kairologic.net homepage hero section will be redesigned to surface live data from the KairoLogic database as interactive, AI-generated questions. The goal is threefold: (1) demonstrate the depth and freshness of KairoLogic’s data on first impression, (2) drive curiosity-led engagement that funnels to free signup, and (3) produce reusable data snippets for paid advertising and LinkedIn campaigns.</w:t>
      </w:r>
    </w:p>
    <w:p>
      <w:pPr>
        <w:spacing w:after="80" w:line="276"/>
      </w:pPr>
      <w:r>
        <w:rPr>
          <w:rFonts w:ascii="Arial" w:cs="Arial" w:eastAsia="Arial" w:hAnsi="Arial"/>
          <w:b/>
          <w:bCs/>
          <w:color w:val="1B2A4A"/>
          <w:sz w:val="20"/>
          <w:szCs w:val="20"/>
        </w:rPr>
        <w:t xml:space="preserve">Chosen Approach: Option B — Two-Tier AI Question Generator + Interactive Explorer</w:t>
      </w:r>
    </w:p>
    <w:p>
      <w:pPr>
        <w:spacing w:after="100" w:line="276"/>
      </w:pPr>
      <w:r>
        <w:rPr>
          <w:rFonts w:ascii="Arial" w:cs="Arial" w:eastAsia="Arial" w:hAnsi="Arial"/>
          <w:sz w:val="20"/>
          <w:szCs w:val="20"/>
        </w:rPr>
        <w:t xml:space="preserve">Three options were evaluated: (A) static live stats with rotating curated questions, (B) two-tier AI question generation with interactive teaser answers, and (C) a full embedded conversational widget. Option B was selected for its balance of engagement, cost efficiency, and reusability for marketing.</w:t>
      </w:r>
    </w:p>
    <w:p>
      <w:pPr>
        <w:spacing w:after="80" w:line="276"/>
      </w:pPr>
      <w:r>
        <w:rPr>
          <w:rFonts w:ascii="Arial" w:cs="Arial" w:eastAsia="Arial" w:hAnsi="Arial"/>
          <w:b/>
          <w:bCs/>
          <w:color w:val="1B2A4A"/>
          <w:sz w:val="20"/>
          <w:szCs w:val="20"/>
        </w:rPr>
        <w:t xml:space="preserve">Architecture: Two-Tier Question Delivery</w:t>
      </w:r>
    </w:p>
    <w:p>
      <w:pPr>
        <w:spacing w:after="80" w:line="276"/>
      </w:pPr>
      <w:r>
        <w:rPr>
          <w:rFonts w:ascii="Arial" w:cs="Arial" w:eastAsia="Arial" w:hAnsi="Arial"/>
          <w:b/>
          <w:bCs/>
          <w:sz w:val="20"/>
          <w:szCs w:val="20"/>
        </w:rPr>
        <w:t xml:space="preserve">Tier 1 (Instant, on page load): </w:t>
      </w:r>
      <w:r>
        <w:rPr>
          <w:rFonts w:ascii="Arial" w:cs="Arial" w:eastAsia="Arial" w:hAnsi="Arial"/>
          <w:sz w:val="20"/>
          <w:szCs w:val="20"/>
        </w:rPr>
        <w:t xml:space="preserve">Pre-generated questions stored in a hero_questions table in Supabase. A nightly cron job calls Claude Haiku to generate 50–100 compelling questions scored against dataset coverage, then stores the best ones. The page loads instantly with 4–6 random pre-generated questions — zero AI latency for the visitor. Questions with high click-through rates are kept in rotation longer.</w:t>
      </w:r>
    </w:p>
    <w:p>
      <w:pPr>
        <w:spacing w:after="80" w:line="276"/>
      </w:pPr>
      <w:r>
        <w:rPr>
          <w:rFonts w:ascii="Arial" w:cs="Arial" w:eastAsia="Arial" w:hAnsi="Arial"/>
          <w:b/>
          <w:bCs/>
          <w:sz w:val="20"/>
          <w:szCs w:val="20"/>
        </w:rPr>
        <w:t xml:space="preserve">Tier 2 (Async, after page render): </w:t>
      </w:r>
      <w:r>
        <w:rPr>
          <w:rFonts w:ascii="Arial" w:cs="Arial" w:eastAsia="Arial" w:hAnsi="Arial"/>
          <w:sz w:val="20"/>
          <w:szCs w:val="20"/>
        </w:rPr>
        <w:t xml:space="preserve">A client-side background fetch calls the Haiku question generation API (~800ms–1.2s). When it returns, 2–3 of the pre-generated question chips animate a subtle fade-swap with fresh, session-specific questions. If the user has already clicked a chip, no swap occurs. Cost: ~$0.001 per page load via Haiku.</w:t>
      </w:r>
    </w:p>
    <w:p>
      <w:pPr>
        <w:spacing w:after="80" w:line="276"/>
      </w:pPr>
      <w:r>
        <w:rPr>
          <w:rFonts w:ascii="Arial" w:cs="Arial" w:eastAsia="Arial" w:hAnsi="Arial"/>
          <w:b/>
          <w:bCs/>
          <w:color w:val="1B2A4A"/>
          <w:sz w:val="20"/>
          <w:szCs w:val="20"/>
        </w:rPr>
        <w:t xml:space="preserve">Data Completeness Registry</w:t>
      </w:r>
    </w:p>
    <w:p>
      <w:pPr>
        <w:spacing w:after="100" w:line="276"/>
      </w:pPr>
      <w:r>
        <w:rPr>
          <w:rFonts w:ascii="Arial" w:cs="Arial" w:eastAsia="Arial" w:hAnsi="Arial"/>
          <w:sz w:val="20"/>
          <w:szCs w:val="20"/>
        </w:rPr>
        <w:t xml:space="preserve">A new materialized view (dataset_coverage) tracks coverage percentage per dataset category, recomputed nightly. Only datasets above the 75% coverage threshold are included in the AI question generation prompt. This prevents embarrassing “0 results” moments and doubles as internal data pipeline health monitoring. Example thresholds: tx_provider_licenses at 98.2% (surfaceable), oig_exclusions at 100% (surfaceable), ai_tool_detection at 2.1% (not yet surfaceable), payer_aetna_coverage at 87.3% (surfaceable).</w:t>
      </w:r>
    </w:p>
    <w:p>
      <w:pPr>
        <w:spacing w:after="80" w:line="276"/>
      </w:pPr>
      <w:r>
        <w:rPr>
          <w:rFonts w:ascii="Arial" w:cs="Arial" w:eastAsia="Arial" w:hAnsi="Arial"/>
          <w:b/>
          <w:bCs/>
          <w:color w:val="1B2A4A"/>
          <w:sz w:val="20"/>
          <w:szCs w:val="20"/>
        </w:rPr>
        <w:t xml:space="preserve">Hero UI Design (Matching Existing Site Aesthetic)</w:t>
      </w:r>
    </w:p>
    <w:p>
      <w:pPr>
        <w:spacing w:after="100" w:line="276"/>
      </w:pPr>
      <w:r>
        <w:rPr>
          <w:rFonts w:ascii="Arial" w:cs="Arial" w:eastAsia="Arial" w:hAnsi="Arial"/>
          <w:sz w:val="20"/>
          <w:szCs w:val="20"/>
        </w:rPr>
        <w:t xml:space="preserve">The hero section uses the existing m-hero-v2 design system: navy (#0B1E3D) background gradient, gold (#D4A574) accent search bar (prominent, centered), Montserrat 600 headings, Inter body text. Below the search bar, 4–6 question chips render as pill-shaped buttons with gold outlines. A subtle refresh icon allows manual question regeneration. A live stats strip below shows real-time database metrics (providers scanned, exclusions flagged, AI tools detected) pulled from cached Supabase aggregates refreshed hourly.</w:t>
      </w:r>
    </w:p>
    <w:p>
      <w:pPr>
        <w:spacing w:after="80" w:line="276"/>
      </w:pPr>
      <w:r>
        <w:rPr>
          <w:rFonts w:ascii="Arial" w:cs="Arial" w:eastAsia="Arial" w:hAnsi="Arial"/>
          <w:b/>
          <w:bCs/>
          <w:color w:val="1B2A4A"/>
          <w:sz w:val="20"/>
          <w:szCs w:val="20"/>
        </w:rPr>
        <w:t xml:space="preserve">Gating Strategy</w:t>
      </w:r>
    </w:p>
    <w:p>
      <w:pPr>
        <w:spacing w:after="100" w:line="276"/>
      </w:pPr>
      <w:r>
        <w:rPr>
          <w:rFonts w:ascii="Arial" w:cs="Arial" w:eastAsia="Arial" w:hAnsi="Arial"/>
          <w:sz w:val="20"/>
          <w:szCs w:val="20"/>
        </w:rPr>
        <w:t xml:space="preserve">When a visitor clicks a question chip or types their own question, the teaser answer API (/api/public/answer-preview) returns a summary stat plus 3 preview rows — enough to demonstrate value but not the full dataset. Example: “73 TX providers are currently flagged for OIG exclusions. Sign up free to see the full list, filter by specialty, and set alerts.” Free visitors get 3 questions per day, tracked via browser fingerprint and server-side rate limiting. After the limit, a signup modal appears using the existing gold CTA styling.</w:t>
      </w:r>
    </w:p>
    <w:p>
      <w:pPr>
        <w:spacing w:after="80" w:line="276"/>
      </w:pPr>
      <w:r>
        <w:rPr>
          <w:rFonts w:ascii="Arial" w:cs="Arial" w:eastAsia="Arial" w:hAnsi="Arial"/>
          <w:b/>
          <w:bCs/>
          <w:color w:val="1B2A4A"/>
          <w:sz w:val="20"/>
          <w:szCs w:val="20"/>
        </w:rPr>
        <w:t xml:space="preserve">Ad Snippet Pipeline (LinkedIn + Paid Ads)</w:t>
      </w:r>
    </w:p>
    <w:p>
      <w:pPr>
        <w:spacing w:after="100" w:line="276"/>
      </w:pPr>
      <w:r>
        <w:rPr>
          <w:rFonts w:ascii="Arial" w:cs="Arial" w:eastAsia="Arial" w:hAnsi="Arial"/>
          <w:sz w:val="20"/>
          <w:szCs w:val="20"/>
        </w:rPr>
        <w:t xml:space="preserve">The same question generation infrastructure powers a nightly marketing content pipeline. A cron job generates 3 provocative data insights optimized for LinkedIn and Google Ads, stored in a marketing_snippets table. Each snippet includes a stat, a question, and a shortened URL to a dedicated landing page (/insights/{slug}) that shows the teaser answer and gates signup. Example LinkedIn ad: “Did you know 73 TX healthcare providers are currently excluded by the OIG but still listed on major payer directories? → kairologic.net/insights/oig-payer-gaps”</w:t>
      </w:r>
    </w:p>
    <w:p>
      <w:pPr>
        <w:spacing w:after="80" w:line="276"/>
      </w:pPr>
      <w:r>
        <w:rPr>
          <w:rFonts w:ascii="Arial" w:cs="Arial" w:eastAsia="Arial" w:hAnsi="Arial"/>
          <w:b/>
          <w:bCs/>
          <w:color w:val="1B2A4A"/>
          <w:sz w:val="20"/>
          <w:szCs w:val="20"/>
        </w:rPr>
        <w:t xml:space="preserve">Implementation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60"/>
        <w:gridCol w:w="1200"/>
        <w:gridCol w:w="1000"/>
        <w:gridCol w:w="1000"/>
        <w:gridCol w:w="1200"/>
      </w:tblGrid>
      <w:tr>
        <w:tc>
          <w:tcPr>
            <w:tcW w:type="dxa" w:w="500"/>
            <w:shd w:val="clear" w:fill="1B2A4A"/>
          </w:tcPr>
          <w:p>
            <w:pPr>
              <w:spacing w:after="0"/>
            </w:pPr>
            <w:r>
              <w:rPr>
                <w:rFonts w:ascii="Arial" w:hAnsi="Arial"/>
                <w:b/>
                <w:color w:val="FFFFFF"/>
                <w:sz w:val="18"/>
              </w:rPr>
              <w:t xml:space="preserve">#</w:t>
            </w:r>
          </w:p>
        </w:tc>
        <w:tc>
          <w:tcPr>
            <w:tcW w:type="dxa" w:w="4460"/>
            <w:shd w:val="clear" w:fill="1B2A4A"/>
          </w:tcPr>
          <w:p>
            <w:pPr>
              <w:spacing w:after="0"/>
            </w:pPr>
            <w:r>
              <w:rPr>
                <w:rFonts w:ascii="Arial" w:hAnsi="Arial"/>
                <w:b/>
                <w:color w:val="FFFFFF"/>
                <w:sz w:val="18"/>
              </w:rPr>
              <w:t xml:space="preserve">Task</w:t>
            </w:r>
          </w:p>
        </w:tc>
        <w:tc>
          <w:tcPr>
            <w:tcW w:type="dxa" w:w="1200"/>
            <w:shd w:val="clear" w:fill="1B2A4A"/>
          </w:tcPr>
          <w:p>
            <w:pPr>
              <w:spacing w:after="0"/>
            </w:pPr>
            <w:r>
              <w:rPr>
                <w:rFonts w:ascii="Arial" w:hAnsi="Arial"/>
                <w:b/>
                <w:color w:val="FFFFFF"/>
                <w:sz w:val="18"/>
              </w:rPr>
              <w:t xml:space="preserve">Owner</w:t>
            </w:r>
          </w:p>
        </w:tc>
        <w:tc>
          <w:tcPr>
            <w:tcW w:type="dxa" w:w="1000"/>
            <w:shd w:val="clear" w:fill="1B2A4A"/>
          </w:tcPr>
          <w:p>
            <w:pPr>
              <w:spacing w:after="0"/>
            </w:pPr>
            <w:r>
              <w:rPr>
                <w:rFonts w:ascii="Arial" w:hAnsi="Arial"/>
                <w:b/>
                <w:color w:val="FFFFFF"/>
                <w:sz w:val="18"/>
              </w:rPr>
              <w:t xml:space="preserve">Priority</w:t>
            </w:r>
          </w:p>
        </w:tc>
        <w:tc>
          <w:tcPr>
            <w:tcW w:type="dxa" w:w="1000"/>
            <w:shd w:val="clear" w:fill="1B2A4A"/>
          </w:tcPr>
          <w:p>
            <w:pPr>
              <w:spacing w:after="0"/>
            </w:pPr>
            <w:r>
              <w:rPr>
                <w:rFonts w:ascii="Arial" w:hAnsi="Arial"/>
                <w:b/>
                <w:color w:val="FFFFFF"/>
                <w:sz w:val="18"/>
              </w:rPr>
              <w:t xml:space="preserve">Effort</w:t>
            </w:r>
          </w:p>
        </w:tc>
        <w:tc>
          <w:tcPr>
            <w:tcW w:type="dxa" w:w="1200"/>
            <w:shd w:val="clear" w:fill="1B2A4A"/>
          </w:tcPr>
          <w:p>
            <w:pPr>
              <w:spacing w:after="0"/>
            </w:pPr>
            <w:r>
              <w:rPr>
                <w:rFonts w:ascii="Arial" w:hAnsi="Arial"/>
                <w:b/>
                <w:color w:val="FFFFFF"/>
                <w:sz w:val="18"/>
              </w:rPr>
              <w:t xml:space="preserve">Depends</w:t>
            </w:r>
          </w:p>
        </w:tc>
      </w:tr>
      <w:tr>
        <w:tc>
          <w:tcPr>
            <w:tcW w:type="dxa" w:w="500"/>
          </w:tcPr>
          <w:p>
            <w:pPr>
              <w:spacing w:after="0"/>
            </w:pPr>
            <w:r>
              <w:rPr>
                <w:rFonts w:ascii="Arial" w:hAnsi="Arial"/>
                <w:sz w:val="18"/>
              </w:rPr>
              <w:t>42a</w:t>
            </w:r>
          </w:p>
        </w:tc>
        <w:tc>
          <w:tcPr>
            <w:tcW w:type="dxa" w:w="4460"/>
          </w:tcPr>
          <w:p>
            <w:pPr>
              <w:spacing w:after="0"/>
            </w:pPr>
            <w:r>
              <w:rPr>
                <w:rFonts w:ascii="Arial" w:hAnsi="Arial"/>
                <w:sz w:val="18"/>
              </w:rPr>
              <w:t>Create dataset_coverage materialized view + nightly cron (computes coverage % per dataset category, 75% threshold for surfacing)</w:t>
            </w:r>
          </w:p>
        </w:tc>
        <w:tc>
          <w:tcPr>
            <w:tcW w:type="dxa" w:w="1200"/>
          </w:tcPr>
          <w:p>
            <w:pPr>
              <w:spacing w:after="0"/>
            </w:pPr>
            <w:r>
              <w:rPr>
                <w:rFonts w:ascii="Arial" w:hAnsi="Arial"/>
                <w:sz w:val="18"/>
              </w:rPr>
              <w:t>Backend</w:t>
            </w:r>
          </w:p>
        </w:tc>
        <w:tc>
          <w:tcPr>
            <w:tcW w:type="dxa" w:w="1000"/>
          </w:tcPr>
          <w:p>
            <w:pPr>
              <w:spacing w:after="0"/>
            </w:pPr>
            <w:r>
              <w:rPr>
                <w:rFonts w:ascii="Arial" w:hAnsi="Arial"/>
                <w:b/>
                <w:sz w:val="18"/>
              </w:rPr>
              <w:t>P0</w:t>
            </w:r>
          </w:p>
        </w:tc>
        <w:tc>
          <w:tcPr>
            <w:tcW w:type="dxa" w:w="1000"/>
          </w:tcPr>
          <w:p>
            <w:pPr>
              <w:spacing w:after="0"/>
            </w:pPr>
            <w:r>
              <w:rPr>
                <w:rFonts w:ascii="Arial" w:hAnsi="Arial"/>
                <w:sz w:val="18"/>
              </w:rPr>
              <w:t>1 day</w:t>
            </w:r>
          </w:p>
        </w:tc>
        <w:tc>
          <w:tcPr>
            <w:tcW w:type="dxa" w:w="1200"/>
          </w:tcPr>
          <w:p>
            <w:pPr>
              <w:spacing w:after="0"/>
            </w:pPr>
            <w:r>
              <w:rPr>
                <w:rFonts w:ascii="Arial" w:hAnsi="Arial"/>
                <w:sz w:val="18"/>
              </w:rPr>
              <w:t>Task 7</w:t>
            </w:r>
          </w:p>
        </w:tc>
      </w:tr>
      <w:tr>
        <w:tc>
          <w:tcPr>
            <w:tcW w:type="dxa" w:w="500"/>
          </w:tcPr>
          <w:p>
            <w:pPr>
              <w:spacing w:after="0"/>
            </w:pPr>
            <w:r>
              <w:rPr>
                <w:rFonts w:ascii="Arial" w:hAnsi="Arial"/>
                <w:sz w:val="18"/>
              </w:rPr>
              <w:t>42b</w:t>
            </w:r>
          </w:p>
        </w:tc>
        <w:tc>
          <w:tcPr>
            <w:tcW w:type="dxa" w:w="4460"/>
          </w:tcPr>
          <w:p>
            <w:pPr>
              <w:spacing w:after="0"/>
            </w:pPr>
            <w:r>
              <w:rPr>
                <w:rFonts w:ascii="Arial" w:hAnsi="Arial"/>
                <w:sz w:val="18"/>
              </w:rPr>
              <w:t>Create hero_questions + marketing_snippets tables in Supabase (question text, dataset mapping, coverage_pct, click_count, generated_at)</w:t>
            </w:r>
          </w:p>
        </w:tc>
        <w:tc>
          <w:tcPr>
            <w:tcW w:type="dxa" w:w="1200"/>
          </w:tcPr>
          <w:p>
            <w:pPr>
              <w:spacing w:after="0"/>
            </w:pPr>
            <w:r>
              <w:rPr>
                <w:rFonts w:ascii="Arial" w:hAnsi="Arial"/>
                <w:sz w:val="18"/>
              </w:rPr>
              <w:t>Backend</w:t>
            </w:r>
          </w:p>
        </w:tc>
        <w:tc>
          <w:tcPr>
            <w:tcW w:type="dxa" w:w="1000"/>
          </w:tcPr>
          <w:p>
            <w:pPr>
              <w:spacing w:after="0"/>
            </w:pPr>
            <w:r>
              <w:rPr>
                <w:rFonts w:ascii="Arial" w:hAnsi="Arial"/>
                <w:b/>
                <w:sz w:val="18"/>
              </w:rPr>
              <w:t>P0</w:t>
            </w:r>
          </w:p>
        </w:tc>
        <w:tc>
          <w:tcPr>
            <w:tcW w:type="dxa" w:w="1000"/>
          </w:tcPr>
          <w:p>
            <w:pPr>
              <w:spacing w:after="0"/>
            </w:pPr>
            <w:r>
              <w:rPr>
                <w:rFonts w:ascii="Arial" w:hAnsi="Arial"/>
                <w:sz w:val="18"/>
              </w:rPr>
              <w:t>1 day</w:t>
            </w:r>
          </w:p>
        </w:tc>
        <w:tc>
          <w:tcPr>
            <w:tcW w:type="dxa" w:w="1200"/>
          </w:tcPr>
          <w:p>
            <w:pPr>
              <w:spacing w:after="0"/>
            </w:pPr>
            <w:r>
              <w:rPr>
                <w:rFonts w:ascii="Arial" w:hAnsi="Arial"/>
                <w:sz w:val="18"/>
              </w:rPr>
              <w:t>42a</w:t>
            </w:r>
          </w:p>
        </w:tc>
      </w:tr>
      <w:tr>
        <w:tc>
          <w:tcPr>
            <w:tcW w:type="dxa" w:w="500"/>
          </w:tcPr>
          <w:p>
            <w:pPr>
              <w:spacing w:after="0"/>
            </w:pPr>
            <w:r>
              <w:rPr>
                <w:rFonts w:ascii="Arial" w:hAnsi="Arial"/>
                <w:sz w:val="18"/>
              </w:rPr>
              <w:t>42c</w:t>
            </w:r>
          </w:p>
        </w:tc>
        <w:tc>
          <w:tcPr>
            <w:tcW w:type="dxa" w:w="4460"/>
          </w:tcPr>
          <w:p>
            <w:pPr>
              <w:spacing w:after="0"/>
            </w:pPr>
            <w:r>
              <w:rPr>
                <w:rFonts w:ascii="Arial" w:hAnsi="Arial"/>
                <w:sz w:val="18"/>
              </w:rPr>
              <w:t>Build nightly hero question generation cron (Haiku call against coverage registry, scores + stores 50–100 questions, rotates by click-through)</w:t>
            </w:r>
          </w:p>
        </w:tc>
        <w:tc>
          <w:tcPr>
            <w:tcW w:type="dxa" w:w="1200"/>
          </w:tcPr>
          <w:p>
            <w:pPr>
              <w:spacing w:after="0"/>
            </w:pPr>
            <w:r>
              <w:rPr>
                <w:rFonts w:ascii="Arial" w:hAnsi="Arial"/>
                <w:sz w:val="18"/>
              </w:rPr>
              <w:t>Backend</w:t>
            </w:r>
          </w:p>
        </w:tc>
        <w:tc>
          <w:tcPr>
            <w:tcW w:type="dxa" w:w="1000"/>
          </w:tcPr>
          <w:p>
            <w:pPr>
              <w:spacing w:after="0"/>
            </w:pPr>
            <w:r>
              <w:rPr>
                <w:rFonts w:ascii="Arial" w:hAnsi="Arial"/>
                <w:b/>
                <w:sz w:val="18"/>
              </w:rPr>
              <w:t>P0</w:t>
            </w:r>
          </w:p>
        </w:tc>
        <w:tc>
          <w:tcPr>
            <w:tcW w:type="dxa" w:w="1000"/>
          </w:tcPr>
          <w:p>
            <w:pPr>
              <w:spacing w:after="0"/>
            </w:pPr>
            <w:r>
              <w:rPr>
                <w:rFonts w:ascii="Arial" w:hAnsi="Arial"/>
                <w:sz w:val="18"/>
              </w:rPr>
              <w:t>2 days</w:t>
            </w:r>
          </w:p>
        </w:tc>
        <w:tc>
          <w:tcPr>
            <w:tcW w:type="dxa" w:w="1200"/>
          </w:tcPr>
          <w:p>
            <w:pPr>
              <w:spacing w:after="0"/>
            </w:pPr>
            <w:r>
              <w:rPr>
                <w:rFonts w:ascii="Arial" w:hAnsi="Arial"/>
                <w:sz w:val="18"/>
              </w:rPr>
              <w:t>42a, 42b</w:t>
            </w:r>
          </w:p>
        </w:tc>
      </w:tr>
      <w:tr>
        <w:tc>
          <w:tcPr>
            <w:tcW w:type="dxa" w:w="500"/>
          </w:tcPr>
          <w:p>
            <w:pPr>
              <w:spacing w:after="0"/>
            </w:pPr>
            <w:r>
              <w:rPr>
                <w:rFonts w:ascii="Arial" w:hAnsi="Arial"/>
                <w:sz w:val="18"/>
              </w:rPr>
              <w:t>42d</w:t>
            </w:r>
          </w:p>
        </w:tc>
        <w:tc>
          <w:tcPr>
            <w:tcW w:type="dxa" w:w="4460"/>
          </w:tcPr>
          <w:p>
            <w:pPr>
              <w:spacing w:after="0"/>
            </w:pPr>
            <w:r>
              <w:rPr>
                <w:rFonts w:ascii="Arial" w:hAnsi="Arial"/>
                <w:sz w:val="18"/>
              </w:rPr>
              <w:t>Build /api/public/hero-questions API (returns cached pre-generated questions) and /api/public/hero-questions/fresh API (Tier 2 Haiku real-time generation)</w:t>
            </w:r>
          </w:p>
        </w:tc>
        <w:tc>
          <w:tcPr>
            <w:tcW w:type="dxa" w:w="1200"/>
          </w:tcPr>
          <w:p>
            <w:pPr>
              <w:spacing w:after="0"/>
            </w:pPr>
            <w:r>
              <w:rPr>
                <w:rFonts w:ascii="Arial" w:hAnsi="Arial"/>
                <w:sz w:val="18"/>
              </w:rPr>
              <w:t>Backend</w:t>
            </w:r>
          </w:p>
        </w:tc>
        <w:tc>
          <w:tcPr>
            <w:tcW w:type="dxa" w:w="1000"/>
          </w:tcPr>
          <w:p>
            <w:pPr>
              <w:spacing w:after="0"/>
            </w:pPr>
            <w:r>
              <w:rPr>
                <w:rFonts w:ascii="Arial" w:hAnsi="Arial"/>
                <w:b/>
                <w:sz w:val="18"/>
              </w:rPr>
              <w:t>P0</w:t>
            </w:r>
          </w:p>
        </w:tc>
        <w:tc>
          <w:tcPr>
            <w:tcW w:type="dxa" w:w="1000"/>
          </w:tcPr>
          <w:p>
            <w:pPr>
              <w:spacing w:after="0"/>
            </w:pPr>
            <w:r>
              <w:rPr>
                <w:rFonts w:ascii="Arial" w:hAnsi="Arial"/>
                <w:sz w:val="18"/>
              </w:rPr>
              <w:t>2 days</w:t>
            </w:r>
          </w:p>
        </w:tc>
        <w:tc>
          <w:tcPr>
            <w:tcW w:type="dxa" w:w="1200"/>
          </w:tcPr>
          <w:p>
            <w:pPr>
              <w:spacing w:after="0"/>
            </w:pPr>
            <w:r>
              <w:rPr>
                <w:rFonts w:ascii="Arial" w:hAnsi="Arial"/>
                <w:sz w:val="18"/>
              </w:rPr>
              <w:t>42c</w:t>
            </w:r>
          </w:p>
        </w:tc>
      </w:tr>
      <w:tr>
        <w:tc>
          <w:tcPr>
            <w:tcW w:type="dxa" w:w="500"/>
          </w:tcPr>
          <w:p>
            <w:pPr>
              <w:spacing w:after="0"/>
            </w:pPr>
            <w:r>
              <w:rPr>
                <w:rFonts w:ascii="Arial" w:hAnsi="Arial"/>
                <w:sz w:val="18"/>
              </w:rPr>
              <w:t>42e</w:t>
            </w:r>
          </w:p>
        </w:tc>
        <w:tc>
          <w:tcPr>
            <w:tcW w:type="dxa" w:w="4460"/>
          </w:tcPr>
          <w:p>
            <w:pPr>
              <w:spacing w:after="0"/>
            </w:pPr>
            <w:r>
              <w:rPr>
                <w:rFonts w:ascii="Arial" w:hAnsi="Arial"/>
                <w:sz w:val="18"/>
              </w:rPr>
              <w:t>Build /api/public/answer-preview API (teaser answer: summary stat + 3 preview rows, leverages existing /api/search/query engine)</w:t>
            </w:r>
          </w:p>
        </w:tc>
        <w:tc>
          <w:tcPr>
            <w:tcW w:type="dxa" w:w="1200"/>
          </w:tcPr>
          <w:p>
            <w:pPr>
              <w:spacing w:after="0"/>
            </w:pPr>
            <w:r>
              <w:rPr>
                <w:rFonts w:ascii="Arial" w:hAnsi="Arial"/>
                <w:sz w:val="18"/>
              </w:rPr>
              <w:t>Backend</w:t>
            </w:r>
          </w:p>
        </w:tc>
        <w:tc>
          <w:tcPr>
            <w:tcW w:type="dxa" w:w="1000"/>
          </w:tcPr>
          <w:p>
            <w:pPr>
              <w:spacing w:after="0"/>
            </w:pPr>
            <w:r>
              <w:rPr>
                <w:rFonts w:ascii="Arial" w:hAnsi="Arial"/>
                <w:b/>
                <w:sz w:val="18"/>
              </w:rPr>
              <w:t>P0</w:t>
            </w:r>
          </w:p>
        </w:tc>
        <w:tc>
          <w:tcPr>
            <w:tcW w:type="dxa" w:w="1000"/>
          </w:tcPr>
          <w:p>
            <w:pPr>
              <w:spacing w:after="0"/>
            </w:pPr>
            <w:r>
              <w:rPr>
                <w:rFonts w:ascii="Arial" w:hAnsi="Arial"/>
                <w:sz w:val="18"/>
              </w:rPr>
              <w:t>2 days</w:t>
            </w:r>
          </w:p>
        </w:tc>
        <w:tc>
          <w:tcPr>
            <w:tcW w:type="dxa" w:w="1200"/>
          </w:tcPr>
          <w:p>
            <w:pPr>
              <w:spacing w:after="0"/>
            </w:pPr>
            <w:r>
              <w:rPr>
                <w:rFonts w:ascii="Arial" w:hAnsi="Arial"/>
                <w:sz w:val="18"/>
              </w:rPr>
              <w:t>Tasks 25–31</w:t>
            </w:r>
          </w:p>
        </w:tc>
      </w:tr>
      <w:tr>
        <w:tc>
          <w:tcPr>
            <w:tcW w:type="dxa" w:w="500"/>
          </w:tcPr>
          <w:p>
            <w:pPr>
              <w:spacing w:after="0"/>
            </w:pPr>
            <w:r>
              <w:rPr>
                <w:rFonts w:ascii="Arial" w:hAnsi="Arial"/>
                <w:sz w:val="18"/>
              </w:rPr>
              <w:t>42f</w:t>
            </w:r>
          </w:p>
        </w:tc>
        <w:tc>
          <w:tcPr>
            <w:tcW w:type="dxa" w:w="4460"/>
          </w:tcPr>
          <w:p>
            <w:pPr>
              <w:spacing w:after="0"/>
            </w:pPr>
            <w:r>
              <w:rPr>
                <w:rFonts w:ascii="Arial" w:hAnsi="Arial"/>
                <w:sz w:val="18"/>
              </w:rPr>
              <w:t>Build hero section frontend component (search bar + question chips + live stats strip + Tier 2 async swap animation, matching m-hero-v2 design)</w:t>
            </w:r>
          </w:p>
        </w:tc>
        <w:tc>
          <w:tcPr>
            <w:tcW w:type="dxa" w:w="1200"/>
          </w:tcPr>
          <w:p>
            <w:pPr>
              <w:spacing w:after="0"/>
            </w:pPr>
            <w:r>
              <w:rPr>
                <w:rFonts w:ascii="Arial" w:hAnsi="Arial"/>
                <w:sz w:val="18"/>
              </w:rPr>
              <w:t>Frontend</w:t>
            </w:r>
          </w:p>
        </w:tc>
        <w:tc>
          <w:tcPr>
            <w:tcW w:type="dxa" w:w="1000"/>
          </w:tcPr>
          <w:p>
            <w:pPr>
              <w:spacing w:after="0"/>
            </w:pPr>
            <w:r>
              <w:rPr>
                <w:rFonts w:ascii="Arial" w:hAnsi="Arial"/>
                <w:b/>
                <w:sz w:val="18"/>
              </w:rPr>
              <w:t>P0</w:t>
            </w:r>
          </w:p>
        </w:tc>
        <w:tc>
          <w:tcPr>
            <w:tcW w:type="dxa" w:w="1000"/>
          </w:tcPr>
          <w:p>
            <w:pPr>
              <w:spacing w:after="0"/>
            </w:pPr>
            <w:r>
              <w:rPr>
                <w:rFonts w:ascii="Arial" w:hAnsi="Arial"/>
                <w:sz w:val="18"/>
              </w:rPr>
              <w:t>3 days</w:t>
            </w:r>
          </w:p>
        </w:tc>
        <w:tc>
          <w:tcPr>
            <w:tcW w:type="dxa" w:w="1200"/>
          </w:tcPr>
          <w:p>
            <w:pPr>
              <w:spacing w:after="0"/>
            </w:pPr>
            <w:r>
              <w:rPr>
                <w:rFonts w:ascii="Arial" w:hAnsi="Arial"/>
                <w:sz w:val="18"/>
              </w:rPr>
              <w:t>42d, 42e</w:t>
            </w:r>
          </w:p>
        </w:tc>
      </w:tr>
      <w:tr>
        <w:tc>
          <w:tcPr>
            <w:tcW w:type="dxa" w:w="500"/>
          </w:tcPr>
          <w:p>
            <w:pPr>
              <w:spacing w:after="0"/>
            </w:pPr>
            <w:r>
              <w:rPr>
                <w:rFonts w:ascii="Arial" w:hAnsi="Arial"/>
                <w:sz w:val="18"/>
              </w:rPr>
              <w:t>42g</w:t>
            </w:r>
          </w:p>
        </w:tc>
        <w:tc>
          <w:tcPr>
            <w:tcW w:type="dxa" w:w="4460"/>
          </w:tcPr>
          <w:p>
            <w:pPr>
              <w:spacing w:after="0"/>
            </w:pPr>
            <w:r>
              <w:rPr>
                <w:rFonts w:ascii="Arial" w:hAnsi="Arial"/>
                <w:sz w:val="18"/>
              </w:rPr>
              <w:t>Implement visitor gating: 3 free questions/day via browser fingerprint + server-side rate limit, signup modal after limit</w:t>
            </w:r>
          </w:p>
        </w:tc>
        <w:tc>
          <w:tcPr>
            <w:tcW w:type="dxa" w:w="1200"/>
          </w:tcPr>
          <w:p>
            <w:pPr>
              <w:spacing w:after="0"/>
            </w:pPr>
            <w:r>
              <w:rPr>
                <w:rFonts w:ascii="Arial" w:hAnsi="Arial"/>
                <w:sz w:val="18"/>
              </w:rPr>
              <w:t>Full-stack</w:t>
            </w:r>
          </w:p>
        </w:tc>
        <w:tc>
          <w:tcPr>
            <w:tcW w:type="dxa" w:w="1000"/>
          </w:tcPr>
          <w:p>
            <w:pPr>
              <w:spacing w:after="0"/>
            </w:pPr>
            <w:r>
              <w:rPr>
                <w:rFonts w:ascii="Arial" w:hAnsi="Arial"/>
                <w:b/>
                <w:sz w:val="18"/>
              </w:rPr>
              <w:t>P0</w:t>
            </w:r>
          </w:p>
        </w:tc>
        <w:tc>
          <w:tcPr>
            <w:tcW w:type="dxa" w:w="1000"/>
          </w:tcPr>
          <w:p>
            <w:pPr>
              <w:spacing w:after="0"/>
            </w:pPr>
            <w:r>
              <w:rPr>
                <w:rFonts w:ascii="Arial" w:hAnsi="Arial"/>
                <w:sz w:val="18"/>
              </w:rPr>
              <w:t>2 days</w:t>
            </w:r>
          </w:p>
        </w:tc>
        <w:tc>
          <w:tcPr>
            <w:tcW w:type="dxa" w:w="1200"/>
          </w:tcPr>
          <w:p>
            <w:pPr>
              <w:spacing w:after="0"/>
            </w:pPr>
            <w:r>
              <w:rPr>
                <w:rFonts w:ascii="Arial" w:hAnsi="Arial"/>
                <w:sz w:val="18"/>
              </w:rPr>
              <w:t>42f, T40</w:t>
            </w:r>
          </w:p>
        </w:tc>
      </w:tr>
      <w:tr>
        <w:tc>
          <w:tcPr>
            <w:tcW w:type="dxa" w:w="500"/>
          </w:tcPr>
          <w:p>
            <w:pPr>
              <w:spacing w:after="0"/>
            </w:pPr>
            <w:r>
              <w:rPr>
                <w:rFonts w:ascii="Arial" w:hAnsi="Arial"/>
                <w:sz w:val="18"/>
              </w:rPr>
              <w:t>42h</w:t>
            </w:r>
          </w:p>
        </w:tc>
        <w:tc>
          <w:tcPr>
            <w:tcW w:type="dxa" w:w="4460"/>
          </w:tcPr>
          <w:p>
            <w:pPr>
              <w:spacing w:after="0"/>
            </w:pPr>
            <w:r>
              <w:rPr>
                <w:rFonts w:ascii="Arial" w:hAnsi="Arial"/>
                <w:sz w:val="18"/>
              </w:rPr>
              <w:t>Build nightly marketing snippet cron (3 LinkedIn/ad insights per night, stored in marketing_snippets with landing page slug generation)</w:t>
            </w:r>
          </w:p>
        </w:tc>
        <w:tc>
          <w:tcPr>
            <w:tcW w:type="dxa" w:w="1200"/>
          </w:tcPr>
          <w:p>
            <w:pPr>
              <w:spacing w:after="0"/>
            </w:pPr>
            <w:r>
              <w:rPr>
                <w:rFonts w:ascii="Arial" w:hAnsi="Arial"/>
                <w:sz w:val="18"/>
              </w:rPr>
              <w:t>Backend</w:t>
            </w:r>
          </w:p>
        </w:tc>
        <w:tc>
          <w:tcPr>
            <w:tcW w:type="dxa" w:w="1000"/>
          </w:tcPr>
          <w:p>
            <w:pPr>
              <w:spacing w:after="0"/>
            </w:pPr>
            <w:r>
              <w:rPr>
                <w:rFonts w:ascii="Arial" w:hAnsi="Arial"/>
                <w:b/>
                <w:sz w:val="18"/>
              </w:rPr>
              <w:t>P1</w:t>
            </w:r>
          </w:p>
        </w:tc>
        <w:tc>
          <w:tcPr>
            <w:tcW w:type="dxa" w:w="1000"/>
          </w:tcPr>
          <w:p>
            <w:pPr>
              <w:spacing w:after="0"/>
            </w:pPr>
            <w:r>
              <w:rPr>
                <w:rFonts w:ascii="Arial" w:hAnsi="Arial"/>
                <w:sz w:val="18"/>
              </w:rPr>
              <w:t>2 days</w:t>
            </w:r>
          </w:p>
        </w:tc>
        <w:tc>
          <w:tcPr>
            <w:tcW w:type="dxa" w:w="1200"/>
          </w:tcPr>
          <w:p>
            <w:pPr>
              <w:spacing w:after="0"/>
            </w:pPr>
            <w:r>
              <w:rPr>
                <w:rFonts w:ascii="Arial" w:hAnsi="Arial"/>
                <w:sz w:val="18"/>
              </w:rPr>
              <w:t>42c</w:t>
            </w:r>
          </w:p>
        </w:tc>
      </w:tr>
      <w:tr>
        <w:tc>
          <w:tcPr>
            <w:tcW w:type="dxa" w:w="500"/>
          </w:tcPr>
          <w:p>
            <w:pPr>
              <w:spacing w:after="0"/>
            </w:pPr>
            <w:r>
              <w:rPr>
                <w:rFonts w:ascii="Arial" w:hAnsi="Arial"/>
                <w:sz w:val="18"/>
              </w:rPr>
              <w:t>42i</w:t>
            </w:r>
          </w:p>
        </w:tc>
        <w:tc>
          <w:tcPr>
            <w:tcW w:type="dxa" w:w="4460"/>
          </w:tcPr>
          <w:p>
            <w:pPr>
              <w:spacing w:after="0"/>
            </w:pPr>
            <w:r>
              <w:rPr>
                <w:rFonts w:ascii="Arial" w:hAnsi="Arial"/>
                <w:sz w:val="18"/>
              </w:rPr>
              <w:t>Build /insights/{slug} landing pages (dynamic route, teaser answer + signup gate, UTM tracking for ad attribution)</w:t>
            </w:r>
          </w:p>
        </w:tc>
        <w:tc>
          <w:tcPr>
            <w:tcW w:type="dxa" w:w="1200"/>
          </w:tcPr>
          <w:p>
            <w:pPr>
              <w:spacing w:after="0"/>
            </w:pPr>
            <w:r>
              <w:rPr>
                <w:rFonts w:ascii="Arial" w:hAnsi="Arial"/>
                <w:sz w:val="18"/>
              </w:rPr>
              <w:t>Frontend</w:t>
            </w:r>
          </w:p>
        </w:tc>
        <w:tc>
          <w:tcPr>
            <w:tcW w:type="dxa" w:w="1000"/>
          </w:tcPr>
          <w:p>
            <w:pPr>
              <w:spacing w:after="0"/>
            </w:pPr>
            <w:r>
              <w:rPr>
                <w:rFonts w:ascii="Arial" w:hAnsi="Arial"/>
                <w:b/>
                <w:sz w:val="18"/>
              </w:rPr>
              <w:t>P1</w:t>
            </w:r>
          </w:p>
        </w:tc>
        <w:tc>
          <w:tcPr>
            <w:tcW w:type="dxa" w:w="1000"/>
          </w:tcPr>
          <w:p>
            <w:pPr>
              <w:spacing w:after="0"/>
            </w:pPr>
            <w:r>
              <w:rPr>
                <w:rFonts w:ascii="Arial" w:hAnsi="Arial"/>
                <w:sz w:val="18"/>
              </w:rPr>
              <w:t>3 days</w:t>
            </w:r>
          </w:p>
        </w:tc>
        <w:tc>
          <w:tcPr>
            <w:tcW w:type="dxa" w:w="1200"/>
          </w:tcPr>
          <w:p>
            <w:pPr>
              <w:spacing w:after="0"/>
            </w:pPr>
            <w:r>
              <w:rPr>
                <w:rFonts w:ascii="Arial" w:hAnsi="Arial"/>
                <w:sz w:val="18"/>
              </w:rPr>
              <w:t>42e, 42h</w:t>
            </w:r>
          </w:p>
        </w:tc>
      </w:tr>
    </w:tbl>
    <w:p>
      <w:pPr>
        <w:spacing w:after="0" w:before="120"/>
      </w:pPr>
    </w:p>
    <w:p>
      <w:pPr>
        <w:spacing w:after="80" w:before="40" w:line="276"/>
        <w:jc w:val="left"/>
      </w:pPr>
      <w:r>
        <w:rPr>
          <w:rFonts w:ascii="Arial" w:cs="Arial" w:eastAsia="Arial" w:hAnsi="Arial"/>
          <w:b/>
          <w:bCs/>
          <w:color w:val="1B2A4A"/>
          <w:sz w:val="24"/>
          <w:szCs w:val="24"/>
        </w:rPr>
        <w:t xml:space="preserve">Phase 1D: Viral Mechanics (Weeks 9-11)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43</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Design shareable Provider Health Score card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Design + 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39</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44</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referral tracking system</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Full-stack</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40</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45</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Add share button to mismatch alert emails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 + Email</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30</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46</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Design ad creatives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Design</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41</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47</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Set up Google Ads campaign for TX credentialing keywords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Marketing</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41</w:t>
            </w:r>
          </w:p>
        </w:tc>
      </w:tr>
    </w:tbl>
    <w:p>
      <w:r>
        <w:br w:type="page"/>
      </w:r>
    </w:p>
    <w:p>
      <w:pPr>
        <w:pStyle w:val="Heading2"/>
        <w:spacing w:after="200" w:before="300"/>
      </w:pPr>
      <w:r>
        <w:t xml:space="preserve">Phase 2: API as a Product (Weeks 11-18)</w:t>
      </w:r>
    </w:p>
    <w:p>
      <w:pPr>
        <w:spacing w:after="160" w:before="0" w:line="276"/>
        <w:jc w:val="left"/>
      </w:pPr>
      <w:r>
        <w:rPr>
          <w:rFonts w:ascii="Arial" w:cs="Arial" w:eastAsia="Arial" w:hAnsi="Arial"/>
          <w:b w:val="false"/>
          <w:bCs w:val="false"/>
          <w:i w:val="false"/>
          <w:iCs w:val="false"/>
          <w:color w:val="1F2937"/>
          <w:sz w:val="22"/>
          <w:szCs w:val="22"/>
        </w:rPr>
        <w:t xml:space="preserve">The backend APIs already exist from Phase 1. Phase 2 wraps them in authentication, billing, documentation, and partner onboarding. No new data work, just productization.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1400"/>
        <w:gridCol w:w="1100"/>
        <w:gridCol w:w="1100"/>
        <w:gridCol w:w="1260"/>
      </w:tblGrid>
      <w:tr>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48</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 key management: generation, rotation, revocation dashboard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APIs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49</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Implement API rate limiting per key (tier-based: Developer, Startup, Scale, Enterprise)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 days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48</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 usage metering and billing integration (Stripe usage-based billing)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49</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51</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interactive API documentation portal (OpenAPI/Swagger with try-it-now)</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Full-stack</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P0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APIs</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52</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/api/monitor/mismatches webhook subscription endpoint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30</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53</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embeddable JavaScript widget (iframe-ready lookup tool)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35-38</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54</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Create API partner onboarding kit: docs, sample code, SDKs, BAA template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Full-stack + Legal</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P1</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 week</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51</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55</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Expand payer coverage: add additional TX payers based on Phase 1A crawl insights (Centene, Molina, etc.)</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weeks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 14</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56</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multi-state expansion framework (CA, FL, NY)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 + Product</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weeks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pattern</w:t>
            </w:r>
          </w:p>
        </w:tc>
      </w:tr>
      <w:tr>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57</w:t>
            </w:r>
          </w:p>
        </w:tc>
        <w:tc>
          <w:tcPr>
            <w:tcW w:type="dxa" w:w="37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Launch AI compliance monitoring product (state-specific AI regulations)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Product + Backend</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6B7280"/>
                <w:sz w:val="20"/>
                <w:szCs w:val="20"/>
              </w:rPr>
              <w:t xml:space="preserve">P2</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 weeks</w:t>
            </w:r>
          </w:p>
        </w:tc>
        <w:tc>
          <w:tcPr>
            <w:tcW w:type="dxa" w:w="12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Tasks 5-6</w:t>
            </w:r>
          </w:p>
        </w:tc>
      </w:tr>
    </w:tbl>
    <w:p>
      <w:r>
        <w:br w:type="page"/>
      </w:r>
    </w:p>
    <w:p>
      <w:pPr>
        <w:pStyle w:val="Heading1"/>
        <w:spacing w:after="200" w:before="300"/>
      </w:pPr>
      <w:r>
        <w:t xml:space="preserve">10. Identified Gaps &amp; Additional Considerations</w:t>
      </w:r>
    </w:p>
    <w:p>
      <w:pPr>
        <w:spacing w:after="0" w:before="60"/>
      </w:pPr>
    </w:p>
    <w:p>
      <w:pPr>
        <w:pStyle w:val="Heading2"/>
        <w:spacing w:after="200" w:before="300"/>
      </w:pPr>
      <w:r>
        <w:t xml:space="preserve">Critical Gaps to Close Before Launch</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2000"/>
        <w:gridCol w:w="1860"/>
      </w:tblGrid>
      <w:t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 If Unresolved</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G1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Payer directory coverage: 1.7% of TX NPIs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Cannot answer “Is my address correct on Aetna?” for 98% of providers. Free tool loses credibility.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Bulk payer sync for TX licensed NPIs (~50K)</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Weeks 1–3</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G2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TMB data 25 days stale (last sync Mar 9)</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License expiration answers could be wrong. Disciplinary data could miss recent actions.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Re-run TMB sync + set up weekly cron</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 1</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C2626"/>
                <w:sz w:val="20"/>
                <w:szCs w:val="20"/>
              </w:rPr>
              <w:t xml:space="preserve">G3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 OIG exclusion list ingested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Disciplinary answer is incomplete. A provider could be excluded from Medicare but not flagged.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Download OIG LEIE, NPI-match, merge into disciplinary flags</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 1</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G4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NPPES delta tracking not operational (12 events total)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Can’t detect when a provider’s NPPES record changes. Stale data risk grows over time.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Wire up weekly NPPES delta feed download + upsert</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 2</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G5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BCBS TX FHIR credentials pending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BCBS is the largest TX payer. Missing BCBS coverage is a visible gap on the free tool.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Parallel track: pursue credentials + build scraper fallback</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Weeks 2–4</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G6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Payer snapshot field population inconsistent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Humana has 5,027 NPIs in snapshots but only 1,191 with names. UHC: 2,217 NPIs but 137 with names.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Debug FHIR parsing. Likely a field-mapping issue in the sync pipeline.</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 2</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G7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 Cigna NPI-based search (uses name-based)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Name-based search may return multiple results or miss exact matches.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NPI→name resolution using NPPES, then search Cigna by name</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 3</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G8</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AI tool detection accuracy (need validation dataset)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False positives in AI tool detection undermine insurance company trust in the signal.</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Build gold-standard validation dataset (100-200 sites, hand-verified). Iterate detection methods.</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Weeks 1-2</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G9</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“Accepting patients” data sparse (payer field is ALL NULL)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Cannot answer the question for any payer. Must rely on website crawl initially.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1A Step 1 Task 3 captures accepting patients from websites via the crawl. This becomes the primary signal until payer directories populate.</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Weeks 1-4</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G10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Expanded payer API research incomplete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May miss high-value payer integrations. Centene (1.8M TX Medicaid lives) confirmed but others still TBD.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1A Step 2 Task 12 analyzes crawl data to prioritize payers. Task 14 integrates Centene. Additional research in Phase 2.</w:t>
            </w:r>
          </w:p>
        </w:tc>
        <w:tc>
          <w:tcPr>
            <w:tcW w:type="dxa" w:w="1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Phase 1, Weeks 4-7</w:t>
            </w:r>
          </w:p>
        </w:tc>
      </w:tr>
    </w:tbl>
    <w:p>
      <w:pPr>
        <w:spacing w:after="0" w:before="120"/>
      </w:pPr>
    </w:p>
    <w:p>
      <w:pPr>
        <w:pStyle w:val="Heading2"/>
        <w:spacing w:after="200" w:before="300"/>
      </w:pPr>
      <w:r>
        <w:t xml:space="preserve">Strategic Considerations</w:t>
      </w:r>
    </w:p>
    <w:p>
      <w:pPr>
        <w:spacing w:after="0" w:before="40"/>
      </w:pPr>
    </w:p>
    <w:p>
      <w:pPr>
        <w:spacing w:after="160" w:before="0" w:line="276"/>
        <w:jc w:val="left"/>
      </w:pPr>
      <w:r>
        <w:rPr>
          <w:rFonts w:ascii="Arial" w:cs="Arial" w:eastAsia="Arial" w:hAnsi="Arial"/>
          <w:b/>
          <w:bCs/>
          <w:color w:val="1F2937"/>
          <w:sz w:val="22"/>
          <w:szCs w:val="22"/>
        </w:rPr>
        <w:t xml:space="preserve">Data freshness commitments. </w:t>
      </w:r>
      <w:r>
        <w:rPr>
          <w:rFonts w:ascii="Arial" w:cs="Arial" w:eastAsia="Arial" w:hAnsi="Arial"/>
          <w:color w:val="1F2937"/>
          <w:sz w:val="22"/>
          <w:szCs w:val="22"/>
        </w:rPr>
        <w:t xml:space="preserve">Once the free tool is live, stale data isn’t just embarrassing, it’s a liability. A provider who sees “license expires June 2026” when it was already renewed will lose trust instantly. Every data source needs a documented refresh SLA: weekly for licenses and NPPES, bi-weekly for payer directories, monthly for PECOS and OIG. Build a data freshness dashboard internally before going public.</w:t>
      </w:r>
    </w:p>
    <w:p>
      <w:pPr>
        <w:spacing w:after="160" w:before="0" w:line="276"/>
        <w:jc w:val="left"/>
      </w:pPr>
      <w:r>
        <w:rPr>
          <w:rFonts w:ascii="Arial" w:cs="Arial" w:eastAsia="Arial" w:hAnsi="Arial"/>
          <w:b/>
          <w:bCs/>
          <w:color w:val="1F2937"/>
          <w:sz w:val="22"/>
          <w:szCs w:val="22"/>
        </w:rPr>
        <w:t xml:space="preserve">Payer snapshot completeness vs speed. </w:t>
      </w:r>
      <w:r>
        <w:rPr>
          <w:rFonts w:ascii="Arial" w:cs="Arial" w:eastAsia="Arial" w:hAnsi="Arial"/>
          <w:color w:val="1F2937"/>
          <w:sz w:val="22"/>
          <w:szCs w:val="22"/>
        </w:rPr>
        <w:t xml:space="preserve">The smart optimization is to sync licensed NPIs first (~50K) rather than all 128K Texas NPIs. But this means providers without TMB licenses in the database (nurse practitioners, PAs, psychologists with separate boards) won’t have payer data initially. Consider a second-pass sync for NPPES-only NPIs in Texas, prioritized by entity type.</w:t>
      </w:r>
    </w:p>
    <w:p>
      <w:pPr>
        <w:spacing w:after="160" w:before="0" w:line="276"/>
        <w:jc w:val="left"/>
      </w:pPr>
      <w:r>
        <w:rPr>
          <w:rFonts w:ascii="Arial" w:cs="Arial" w:eastAsia="Arial" w:hAnsi="Arial"/>
          <w:b/>
          <w:bCs/>
          <w:color w:val="1F2937"/>
          <w:sz w:val="22"/>
          <w:szCs w:val="22"/>
        </w:rPr>
        <w:t xml:space="preserve">The “not listed” answer is still valuable. </w:t>
      </w:r>
      <w:r>
        <w:rPr>
          <w:rFonts w:ascii="Arial" w:cs="Arial" w:eastAsia="Arial" w:hAnsi="Arial"/>
          <w:color w:val="1F2937"/>
          <w:sz w:val="22"/>
          <w:szCs w:val="22"/>
        </w:rPr>
        <w:t xml:space="preserve">When a payer snapshot comes back with listed_name_full = null, that means the provider is NOT in that payer’s directory. This is a high-value finding, maybe even more valuable than a correct listing. Display it as “Not found in [Payer]’s directory” with a CTA to investigate further via signup.</w:t>
      </w:r>
    </w:p>
    <w:p>
      <w:pPr>
        <w:spacing w:after="160" w:before="0" w:line="276"/>
        <w:jc w:val="left"/>
      </w:pPr>
      <w:r>
        <w:rPr>
          <w:rFonts w:ascii="Arial" w:cs="Arial" w:eastAsia="Arial" w:hAnsi="Arial"/>
          <w:b/>
          <w:bCs/>
          <w:color w:val="1F2937"/>
          <w:sz w:val="22"/>
          <w:szCs w:val="22"/>
        </w:rPr>
        <w:t xml:space="preserve">Scraping risk for BCBS. </w:t>
      </w:r>
      <w:r>
        <w:rPr>
          <w:rFonts w:ascii="Arial" w:cs="Arial" w:eastAsia="Arial" w:hAnsi="Arial"/>
          <w:color w:val="1F2937"/>
          <w:sz w:val="22"/>
          <w:szCs w:val="22"/>
        </w:rPr>
        <w:t xml:space="preserve">BCBS TX currently uses a scrape-based approach at 10 req/min. At scale, this creates legal and reliability risk. Prioritize getting FHIR credentials (HCSC is the parent company). If scraping must continue, run it behind rotating IPs with respectful intervals and monitor for blocking.</w:t>
      </w:r>
    </w:p>
    <w:p>
      <w:pPr>
        <w:spacing w:after="160" w:before="0" w:line="276"/>
        <w:jc w:val="left"/>
      </w:pPr>
      <w:r>
        <w:rPr>
          <w:rFonts w:ascii="Arial" w:cs="Arial" w:eastAsia="Arial" w:hAnsi="Arial"/>
          <w:b/>
          <w:bCs/>
          <w:color w:val="1F2937"/>
          <w:sz w:val="22"/>
          <w:szCs w:val="22"/>
        </w:rPr>
        <w:t xml:space="preserve">The free tool as data quality QA. </w:t>
      </w:r>
      <w:r>
        <w:rPr>
          <w:rFonts w:ascii="Arial" w:cs="Arial" w:eastAsia="Arial" w:hAnsi="Arial"/>
          <w:color w:val="1F2937"/>
          <w:sz w:val="22"/>
          <w:szCs w:val="22"/>
        </w:rPr>
        <w:t xml:space="preserve">Every free lookup is effectively a test of your data pipeline. When a user says “this is wrong,” they’re filing a free bug report. Build a “Report an issue” button on the results page from day one. Route reports to a queue, investigate, and use them to improve the sync pipeline. This turns users into a data quality crowdsourcing engine.</w:t>
      </w:r>
    </w:p>
    <w:p>
      <w:pPr>
        <w:spacing w:after="0" w:before="80"/>
      </w:pPr>
    </w:p>
    <w:p>
      <w:pPr>
        <w:pStyle w:val="Heading2"/>
        <w:spacing w:after="200" w:before="300"/>
      </w:pPr>
      <w:r>
        <w:t xml:space="preserve">Key Metrics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Tracking</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TX payer coverage (NPIs synced)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50,000+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100,000+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Data pipeline dashboard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TX website crawl coverage (URLs crawled)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39,602 in 30 days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All TX providers, weekly re-crawl</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Crawl scheduler logs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AI tools detected per provider (baseline)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Track baseline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Avg 1.2 tools/provider</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Compliance findings DB</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Three-way comparison match rate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&gt; 70% for licensed NPIs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&gt; 85% across all sources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Comparison engine metrics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Free lookups/month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5,000+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Analytics events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Lookup → free signup rate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&gt; 8%</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&gt; 15%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Funnel analytics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Free → paid conversion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&gt; 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&gt; 10%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Stripe + internal</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Data freshness (all sources &lt; SLA)</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90%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99%</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Freshness dashboard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Payer APIs integrated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 (Phase 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8+ (Phase 2)</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API dashboard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1" w:space="4"/>
      </w:pBdr>
      <w:tabs>
        <w:tab w:val="right" w:pos="9026"/>
      </w:tabs>
    </w:pPr>
    <w:r>
      <w:rPr>
        <w:rFonts w:ascii="Arial" w:cs="Arial" w:eastAsia="Arial" w:hAnsi="Arial"/>
        <w:color w:val="6B7280"/>
        <w:sz w:val="16"/>
        <w:szCs w:val="16"/>
      </w:rPr>
      <w:t xml:space="preserve">KairoLogic  |  Viral Growth &amp; Product Strategy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2026-04-04T04:53:28.269Z</dcterms:created>
  <dcterms:modified xsi:type="dcterms:W3CDTF">2026-04-04T04:53:28.269Z</dcterms:modified>
</cp:coreProperties>
</file>

<file path=docProps/custom.xml><?xml version="1.0" encoding="utf-8"?>
<Properties xmlns="http://schemas.openxmlformats.org/officeDocument/2006/custom-properties" xmlns:vt="http://schemas.openxmlformats.org/officeDocument/2006/docPropsVTypes"/>
</file>