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B1E3D"/>
          <w:sz w:val="48"/>
          <w:szCs w:val="48"/>
        </w:rPr>
        <w:t xml:space="preserve">Kairo</w:t>
      </w:r>
      <w:r>
        <w:rPr>
          <w:rFonts w:ascii="Arial" w:cs="Arial" w:eastAsia="Arial" w:hAnsi="Arial"/>
          <w:b/>
          <w:bCs/>
          <w:color w:val="D4A017"/>
          <w:sz w:val="48"/>
          <w:szCs w:val="48"/>
        </w:rPr>
        <w:t xml:space="preserve">Logic</w:t>
      </w:r>
    </w:p>
    <w:p>
      <w:pPr>
        <w:spacing w:before="200"/>
        <w:jc w:val="center"/>
      </w:pPr>
      <w:r>
        <w:rPr>
          <w:rFonts w:ascii="Arial" w:cs="Arial" w:eastAsia="Arial" w:hAnsi="Arial"/>
          <w:b/>
          <w:bCs/>
          <w:color w:val="0B1E3D"/>
          <w:sz w:val="28"/>
          <w:szCs w:val="28"/>
        </w:rPr>
        <w:t xml:space="preserve">Provider Data Intelligence Platform</w:t>
      </w:r>
    </w:p>
    <w:p>
      <w:pPr>
        <w:spacing w:before="100"/>
        <w:jc w:val="center"/>
      </w:pPr>
      <w:r>
        <w:rPr>
          <w:rFonts w:ascii="Arial" w:cs="Arial" w:eastAsia="Arial" w:hAnsi="Arial"/>
          <w:color w:val="D4A017"/>
          <w:sz w:val="24"/>
          <w:szCs w:val="24"/>
        </w:rPr>
        <w:t xml:space="preserve">Feature &amp; Code Documentation — Addendum</w:t>
      </w:r>
    </w:p>
    <w:p>
      <w:pPr>
        <w:spacing w:before="100"/>
        <w:jc w:val="center"/>
      </w:pPr>
      <w:r>
        <w:rPr>
          <w:rFonts w:ascii="Arial" w:cs="Arial" w:eastAsia="Arial" w:hAnsi="Arial"/>
          <w:color w:val="999999"/>
          <w:sz w:val="20"/>
          <w:szCs w:val="20"/>
        </w:rPr>
        <w:t xml:space="preserve">Critical Sprint + Pipeline Bootstrap + Dashboard Intelligence + Hardening | April 2, 2026</w:t>
      </w:r>
    </w:p>
    <w:p>
      <w:pPr>
        <w:spacing w:before="60"/>
        <w:jc w:val="center"/>
      </w:pPr>
      <w:r>
        <w:rPr>
          <w:rFonts w:ascii="Arial" w:cs="Arial" w:eastAsia="Arial" w:hAnsi="Arial"/>
          <w:i/>
          <w:iCs/>
          <w:color w:val="999999"/>
          <w:sz w:val="18"/>
          <w:szCs w:val="18"/>
        </w:rPr>
        <w:t xml:space="preserve">Addendum to Complete Technical Reference | Internal Engineering Document</w:t>
      </w:r>
    </w:p>
    <w:p>
      <w:r>
        <w:br w:type="page"/>
      </w:r>
    </w:p>
    <w:p>
      <w:pPr>
        <w:spacing w:before="400" w:after="200"/>
      </w:pPr>
      <w:r>
        <w:rPr>
          <w:rFonts w:ascii="Arial" w:cs="Arial" w:eastAsia="Arial" w:hAnsi="Arial"/>
          <w:b/>
          <w:bCs/>
          <w:color w:val="0B1E3D"/>
          <w:sz w:val="32"/>
          <w:szCs w:val="32"/>
        </w:rPr>
        <w:t xml:space="preserve">22. Validation Gate Decoupling (Critical Sprint)</w:t>
      </w:r>
    </w:p>
    <w:p>
      <w:pPr>
        <w:spacing w:after="100" w:line="276"/>
      </w:pPr>
      <w:r>
        <w:rPr>
          <w:rFonts w:ascii="Arial" w:cs="Arial" w:eastAsia="Arial" w:hAnsi="Arial"/>
          <w:color w:val="444444"/>
          <w:sz w:val="19"/>
          <w:szCs w:val="19"/>
        </w:rPr>
        <w:t xml:space="preserve">When the NPI validation gate failed (weighted false positive rate exceeding 2%), all state board findings were blocked from the dashboard entirely, creating stale experiences where customers saw no new insights. This feature decouples the gate from the display layer so findings are always written and always visible.</w:t>
      </w:r>
    </w:p>
    <w:p>
      <w:pPr>
        <w:spacing w:after="60"/>
      </w:pPr>
    </w:p>
    <w:p>
      <w:pPr>
        <w:spacing w:before="220" w:after="100"/>
      </w:pPr>
      <w:r>
        <w:rPr>
          <w:rFonts w:ascii="Arial" w:cs="Arial" w:eastAsia="Arial" w:hAnsi="Arial"/>
          <w:b/>
          <w:bCs/>
          <w:color w:val="D4A017"/>
          <w:sz w:val="24"/>
          <w:szCs w:val="24"/>
        </w:rPr>
        <w:t xml:space="preserve">Verification Status Model</w:t>
      </w:r>
    </w:p>
    <w:p>
      <w:pPr>
        <w:spacing w:after="100" w:line="276"/>
      </w:pPr>
      <w:r>
        <w:rPr>
          <w:rFonts w:ascii="Arial" w:cs="Arial" w:eastAsia="Arial" w:hAnsi="Arial"/>
          <w:color w:val="444444"/>
          <w:sz w:val="19"/>
          <w:szCs w:val="19"/>
        </w:rPr>
        <w:t xml:space="preserve">Every delta event is stamped with a verification_status at creation time. Web scan detections (address, phone comparisons against NPPES) are always "verified" because they bypass NPI resolution. TMB Newsroom press releases are always "verified" (authoritative government publications). State board detections via fuzzy NPI matching are "verified" when the gate passes, or "pending_verification" when it fails. High-confidence PECOS matches (confidence &gt;= 0.95) are always verified regardless of gate status.</w:t>
      </w:r>
    </w:p>
    <w:p>
      <w:pPr>
        <w:spacing w:after="60"/>
      </w:pPr>
    </w:p>
    <w:p>
      <w:pPr>
        <w:spacing w:before="220" w:after="100"/>
      </w:pPr>
      <w:r>
        <w:rPr>
          <w:rFonts w:ascii="Arial" w:cs="Arial" w:eastAsia="Arial" w:hAnsi="Arial"/>
          <w:b/>
          <w:bCs/>
          <w:color w:val="D4A017"/>
          <w:sz w:val="24"/>
          <w:szCs w:val="24"/>
        </w:rPr>
        <w:t xml:space="preserve">Display Mode Configuration</w:t>
      </w:r>
    </w:p>
    <w:p>
      <w:pPr>
        <w:spacing w:after="100" w:line="276"/>
      </w:pPr>
      <w:r>
        <w:rPr>
          <w:rFonts w:ascii="Arial" w:cs="Arial" w:eastAsia="Arial" w:hAnsi="Arial"/>
          <w:color w:val="444444"/>
          <w:sz w:val="19"/>
          <w:szCs w:val="19"/>
        </w:rPr>
        <w:t xml:space="preserve">Two display modes are configurable at runtime via the platform_config table (no deploy needed). Option A (INFO_ONLY): pending findings show with yellow badges but no Generate Form button. Option B (ACTIONABLE_WITH_WARNING): pending findings show with yellow badges and a Generate Form button that triggers a confirmation modal warning about unverified data. Alert emails only fire for verified findings in both modes.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lib/scanner/validation-gate-status.ts: </w:t>
      </w:r>
      <w:r>
        <w:rPr>
          <w:rFonts w:ascii="Arial" w:cs="Arial" w:eastAsia="Arial" w:hAnsi="Arial"/>
          <w:color w:val="444444"/>
          <w:sz w:val="19"/>
          <w:szCs w:val="19"/>
        </w:rPr>
        <w:t xml:space="preserve">Core service: gate checking, verification stamping, action guards, shouldSendAlert export</w:t>
      </w:r>
    </w:p>
    <w:p>
      <w:pPr>
        <w:spacing w:after="80" w:line="276"/>
      </w:pPr>
      <w:r>
        <w:rPr>
          <w:rFonts w:ascii="Arial" w:cs="Arial" w:eastAsia="Arial" w:hAnsi="Arial"/>
          <w:b/>
          <w:bCs/>
          <w:color w:val="0B1E3D"/>
          <w:sz w:val="19"/>
          <w:szCs w:val="19"/>
        </w:rPr>
        <w:t xml:space="preserve">components/dashboard/VerificationBadge.tsx: </w:t>
      </w:r>
      <w:r>
        <w:rPr>
          <w:rFonts w:ascii="Arial" w:cs="Arial" w:eastAsia="Arial" w:hAnsi="Arial"/>
          <w:color w:val="444444"/>
          <w:sz w:val="19"/>
          <w:szCs w:val="19"/>
        </w:rPr>
        <w:t xml:space="preserve">UI: VerificationBadge, FormGenerateButton, PendingVerificationModal, FindingsCountHeader</w:t>
      </w:r>
    </w:p>
    <w:p>
      <w:pPr>
        <w:spacing w:after="80" w:line="276"/>
      </w:pPr>
      <w:r>
        <w:rPr>
          <w:rFonts w:ascii="Arial" w:cs="Arial" w:eastAsia="Arial" w:hAnsi="Arial"/>
          <w:b/>
          <w:bCs/>
          <w:color w:val="0B1E3D"/>
          <w:sz w:val="19"/>
          <w:szCs w:val="19"/>
        </w:rPr>
        <w:t xml:space="preserve">migration-validation-gate-decoupling.sql: </w:t>
      </w:r>
      <w:r>
        <w:rPr>
          <w:rFonts w:ascii="Arial" w:cs="Arial" w:eastAsia="Arial" w:hAnsi="Arial"/>
          <w:color w:val="444444"/>
          <w:sz w:val="19"/>
          <w:szCs w:val="19"/>
        </w:rPr>
        <w:t xml:space="preserve">Schema: verification_status column, platform_config table, upgrade_pending_to_verified() function</w:t>
      </w:r>
    </w:p>
    <w:p>
      <w:pPr>
        <w:spacing w:after="80" w:line="276"/>
      </w:pPr>
      <w:r>
        <w:rPr>
          <w:rFonts w:ascii="Arial" w:cs="Arial" w:eastAsia="Arial" w:hAnsi="Arial"/>
          <w:b/>
          <w:bCs/>
          <w:color w:val="0B1E3D"/>
          <w:sz w:val="19"/>
          <w:szCs w:val="19"/>
        </w:rPr>
        <w:t xml:space="preserve">lib/scanner/delta-engine.ts: </w:t>
      </w:r>
      <w:r>
        <w:rPr>
          <w:rFonts w:ascii="Arial" w:cs="Arial" w:eastAsia="Arial" w:hAnsi="Arial"/>
          <w:color w:val="444444"/>
          <w:sz w:val="19"/>
          <w:szCs w:val="19"/>
        </w:rPr>
        <w:t xml:space="preserve">Patched: stamps verification_status + gate_status_at_creation on each delta event</w:t>
      </w:r>
    </w:p>
    <w:p>
      <w:pPr>
        <w:spacing w:after="80" w:line="276"/>
      </w:pPr>
      <w:r>
        <w:rPr>
          <w:rFonts w:ascii="Arial" w:cs="Arial" w:eastAsia="Arial" w:hAnsi="Arial"/>
          <w:b/>
          <w:bCs/>
          <w:color w:val="0B1E3D"/>
          <w:sz w:val="19"/>
          <w:szCs w:val="19"/>
        </w:rPr>
        <w:t xml:space="preserve">app/api/alerts/mismatch/route.ts: </w:t>
      </w:r>
      <w:r>
        <w:rPr>
          <w:rFonts w:ascii="Arial" w:cs="Arial" w:eastAsia="Arial" w:hAnsi="Arial"/>
          <w:color w:val="444444"/>
          <w:sz w:val="19"/>
          <w:szCs w:val="19"/>
        </w:rPr>
        <w:t xml:space="preserve">Patched: shouldSendAlert guard + TypeScript fix</w:t>
      </w:r>
    </w:p>
    <w:p>
      <w:r>
        <w:br w:type="page"/>
      </w:r>
    </w:p>
    <w:p>
      <w:pPr>
        <w:spacing w:before="400" w:after="200"/>
      </w:pPr>
      <w:r>
        <w:rPr>
          <w:rFonts w:ascii="Arial" w:cs="Arial" w:eastAsia="Arial" w:hAnsi="Arial"/>
          <w:b/>
          <w:bCs/>
          <w:color w:val="0B1E3D"/>
          <w:sz w:val="32"/>
          <w:szCs w:val="32"/>
        </w:rPr>
        <w:t xml:space="preserve">23. Auto-Polling Confirmation Loop (Critical Sprint)</w:t>
      </w:r>
    </w:p>
    <w:p>
      <w:pPr>
        <w:spacing w:after="100" w:line="276"/>
      </w:pPr>
      <w:r>
        <w:rPr>
          <w:rFonts w:ascii="Arial" w:cs="Arial" w:eastAsia="Arial" w:hAnsi="Arial"/>
          <w:color w:val="444444"/>
          <w:sz w:val="19"/>
          <w:szCs w:val="19"/>
        </w:rPr>
        <w:t xml:space="preserve">The original confirmation loop required a Practice Manager to click "Mark as Submitted" before NPPES polling began. If they forgot, the platform lost visibility into the outcome, breaking the renewal loop. The new flow starts polling automatically the moment a form is generated.</w:t>
      </w:r>
    </w:p>
    <w:p>
      <w:pPr>
        <w:spacing w:after="60"/>
      </w:pPr>
    </w:p>
    <w:p>
      <w:pPr>
        <w:spacing w:before="220" w:after="100"/>
      </w:pPr>
      <w:r>
        <w:rPr>
          <w:rFonts w:ascii="Arial" w:cs="Arial" w:eastAsia="Arial" w:hAnsi="Arial"/>
          <w:b/>
          <w:bCs/>
          <w:color w:val="D4A017"/>
          <w:sz w:val="24"/>
          <w:szCs w:val="24"/>
        </w:rPr>
        <w:t xml:space="preserve">New Lifecycle</w:t>
      </w:r>
    </w:p>
    <w:p>
      <w:pPr>
        <w:spacing w:after="100" w:line="276"/>
      </w:pPr>
      <w:r>
        <w:rPr>
          <w:rFonts w:ascii="Arial" w:cs="Arial" w:eastAsia="Arial" w:hAnsi="Arial"/>
          <w:color w:val="444444"/>
          <w:sz w:val="19"/>
          <w:szCs w:val="19"/>
        </w:rPr>
        <w:t xml:space="preserve">FORM_GENERATED: auto-polling starts immediately via daily GitHub Actions workflow. SUBMITTED (optional): user clicks "Mark as Submitted" which records the submission date, prevents stale nudge emails, and changes confirmation email copy. CONFIRMED: NPPES reflects the expected value, confirmation email sent, delta event resolved. STALE (30 days): gentle nudge email if not manually marked as submitted. EXPIRED (45 days): final notice, polling stops.</w:t>
      </w:r>
    </w:p>
    <w:p>
      <w:pPr>
        <w:spacing w:after="60"/>
      </w:pPr>
    </w:p>
    <w:p>
      <w:pPr>
        <w:spacing w:before="220" w:after="100"/>
      </w:pPr>
      <w:r>
        <w:rPr>
          <w:rFonts w:ascii="Arial" w:cs="Arial" w:eastAsia="Arial" w:hAnsi="Arial"/>
          <w:b/>
          <w:bCs/>
          <w:color w:val="D4A017"/>
          <w:sz w:val="24"/>
          <w:szCs w:val="24"/>
        </w:rPr>
        <w:t xml:space="preserve">NPPES Field Extraction</w:t>
      </w:r>
    </w:p>
    <w:p>
      <w:pPr>
        <w:spacing w:after="100" w:line="276"/>
      </w:pPr>
      <w:r>
        <w:rPr>
          <w:rFonts w:ascii="Arial" w:cs="Arial" w:eastAsia="Arial" w:hAnsi="Arial"/>
          <w:color w:val="444444"/>
          <w:sz w:val="19"/>
          <w:szCs w:val="19"/>
        </w:rPr>
        <w:t xml:space="preserve">The auto-polling service queries the NPPES Live API (npiregistry.cms.hhs.gov/api/) by NPI number, extracts the relevant field (address, phone, fax, taxonomy) from the response, normalizes it (street abbreviations, digits-only for phones), and compares against the expected_value stored at form generation time. No authentication or API key required.</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lib/forms/auto-confirmation-loop.ts: </w:t>
      </w:r>
      <w:r>
        <w:rPr>
          <w:rFonts w:ascii="Arial" w:cs="Arial" w:eastAsia="Arial" w:hAnsi="Arial"/>
          <w:color w:val="444444"/>
          <w:sz w:val="19"/>
          <w:szCs w:val="19"/>
        </w:rPr>
        <w:t xml:space="preserve">Core: AutoConfirmationService with pollAllActive(), onFormGenerated(), onManuallyMarkedSubmitted()</w:t>
      </w:r>
    </w:p>
    <w:p>
      <w:pPr>
        <w:spacing w:after="80" w:line="276"/>
      </w:pPr>
      <w:r>
        <w:rPr>
          <w:rFonts w:ascii="Arial" w:cs="Arial" w:eastAsia="Arial" w:hAnsi="Arial"/>
          <w:b/>
          <w:bCs/>
          <w:color w:val="0B1E3D"/>
          <w:sz w:val="19"/>
          <w:szCs w:val="19"/>
        </w:rPr>
        <w:t xml:space="preserve">app/api/forms/confirm/route.ts: </w:t>
      </w:r>
      <w:r>
        <w:rPr>
          <w:rFonts w:ascii="Arial" w:cs="Arial" w:eastAsia="Arial" w:hAnsi="Arial"/>
          <w:color w:val="444444"/>
          <w:sz w:val="19"/>
          <w:szCs w:val="19"/>
        </w:rPr>
        <w:t xml:space="preserve">Updated: POST is optional enrichment, GET returns polling status</w:t>
      </w:r>
    </w:p>
    <w:p>
      <w:pPr>
        <w:spacing w:after="80" w:line="276"/>
      </w:pPr>
      <w:r>
        <w:rPr>
          <w:rFonts w:ascii="Arial" w:cs="Arial" w:eastAsia="Arial" w:hAnsi="Arial"/>
          <w:b/>
          <w:bCs/>
          <w:color w:val="0B1E3D"/>
          <w:sz w:val="19"/>
          <w:szCs w:val="19"/>
        </w:rPr>
        <w:t xml:space="preserve">scripts/run-auto-confirmation.ts: </w:t>
      </w:r>
      <w:r>
        <w:rPr>
          <w:rFonts w:ascii="Arial" w:cs="Arial" w:eastAsia="Arial" w:hAnsi="Arial"/>
          <w:color w:val="444444"/>
          <w:sz w:val="19"/>
          <w:szCs w:val="19"/>
        </w:rPr>
        <w:t xml:space="preserve">CLI runner for GitHub Actions</w:t>
      </w:r>
    </w:p>
    <w:p>
      <w:pPr>
        <w:spacing w:after="80" w:line="276"/>
      </w:pPr>
      <w:r>
        <w:rPr>
          <w:rFonts w:ascii="Arial" w:cs="Arial" w:eastAsia="Arial" w:hAnsi="Arial"/>
          <w:b/>
          <w:bCs/>
          <w:color w:val="0B1E3D"/>
          <w:sz w:val="19"/>
          <w:szCs w:val="19"/>
        </w:rPr>
        <w:t xml:space="preserve">.github/workflows/nppes-auto-confirmation.yml: </w:t>
      </w:r>
      <w:r>
        <w:rPr>
          <w:rFonts w:ascii="Arial" w:cs="Arial" w:eastAsia="Arial" w:hAnsi="Arial"/>
          <w:color w:val="444444"/>
          <w:sz w:val="19"/>
          <w:szCs w:val="19"/>
        </w:rPr>
        <w:t xml:space="preserve">Daily at 10am UTC (passing)</w:t>
      </w:r>
    </w:p>
    <w:p>
      <w:pPr>
        <w:spacing w:after="80" w:line="276"/>
      </w:pPr>
      <w:r>
        <w:rPr>
          <w:rFonts w:ascii="Arial" w:cs="Arial" w:eastAsia="Arial" w:hAnsi="Arial"/>
          <w:b/>
          <w:bCs/>
          <w:color w:val="0B1E3D"/>
          <w:sz w:val="19"/>
          <w:szCs w:val="19"/>
        </w:rPr>
        <w:t xml:space="preserve">migration-auto-confirmation-loop.sql: </w:t>
      </w:r>
      <w:r>
        <w:rPr>
          <w:rFonts w:ascii="Arial" w:cs="Arial" w:eastAsia="Arial" w:hAnsi="Arial"/>
          <w:color w:val="444444"/>
          <w:sz w:val="19"/>
          <w:szCs w:val="19"/>
        </w:rPr>
        <w:t xml:space="preserve">Schema: form_generated_at, last_polled_at, poll_count, STALE status</w:t>
      </w:r>
    </w:p>
    <w:p>
      <w:r>
        <w:br w:type="page"/>
      </w:r>
    </w:p>
    <w:p>
      <w:pPr>
        <w:spacing w:before="400" w:after="200"/>
      </w:pPr>
      <w:r>
        <w:rPr>
          <w:rFonts w:ascii="Arial" w:cs="Arial" w:eastAsia="Arial" w:hAnsi="Arial"/>
          <w:b/>
          <w:bCs/>
          <w:color w:val="0B1E3D"/>
          <w:sz w:val="32"/>
          <w:szCs w:val="32"/>
        </w:rPr>
        <w:t xml:space="preserve">24. TMB Newsroom Disciplinary Monitor (Critical Sprint)</w:t>
      </w:r>
    </w:p>
    <w:p>
      <w:pPr>
        <w:spacing w:after="100" w:line="276"/>
      </w:pPr>
      <w:r>
        <w:rPr>
          <w:rFonts w:ascii="Arial" w:cs="Arial" w:eastAsia="Arial" w:hAnsi="Arial"/>
          <w:color w:val="444444"/>
          <w:sz w:val="19"/>
          <w:szCs w:val="19"/>
        </w:rPr>
        <w:t xml:space="preserve">The monthly ORSSP bulk file creates a 30-day detection gap for critical licensing actions (emergency suspensions, revocations). This monitor scrapes the TMB Newsroom press releases page weekly, catching emergency suspensions within approximately 7 days.</w:t>
      </w:r>
    </w:p>
    <w:p>
      <w:pPr>
        <w:spacing w:after="60"/>
      </w:pPr>
    </w:p>
    <w:p>
      <w:pPr>
        <w:spacing w:before="220" w:after="100"/>
      </w:pPr>
      <w:r>
        <w:rPr>
          <w:rFonts w:ascii="Arial" w:cs="Arial" w:eastAsia="Arial" w:hAnsi="Arial"/>
          <w:b/>
          <w:bCs/>
          <w:color w:val="D4A017"/>
          <w:sz w:val="24"/>
          <w:szCs w:val="24"/>
        </w:rPr>
        <w:t xml:space="preserve">Three-Tier Disciplinary Monitoring</w:t>
      </w:r>
    </w:p>
    <w:p>
      <w:pPr>
        <w:spacing w:after="100" w:line="276"/>
      </w:pPr>
      <w:r>
        <w:rPr>
          <w:rFonts w:ascii="Arial" w:cs="Arial" w:eastAsia="Arial" w:hAnsi="Arial"/>
          <w:color w:val="444444"/>
          <w:sz w:val="19"/>
          <w:szCs w:val="19"/>
        </w:rPr>
        <w:t xml:space="preserve">Tier 1 (this feature): Weekly newsroom scraper. Fetches tmb.state.tx.us/about-us/newsroom, parses press release table, classifies by type (emergency suspension, board meeting actions, PA suspension, other). Fetches individual release pages for license number extraction. Cross-references against provider_licenses. Tier 2 (future): FSMB Physician Data Center real-time alerts. Tier 3 (existing): ORSSP monthly bulk file.</w:t>
      </w:r>
    </w:p>
    <w:p>
      <w:pPr>
        <w:spacing w:after="60"/>
      </w:pPr>
    </w:p>
    <w:p>
      <w:pPr>
        <w:spacing w:before="220" w:after="100"/>
      </w:pPr>
      <w:r>
        <w:rPr>
          <w:rFonts w:ascii="Arial" w:cs="Arial" w:eastAsia="Arial" w:hAnsi="Arial"/>
          <w:b/>
          <w:bCs/>
          <w:color w:val="D4A017"/>
          <w:sz w:val="24"/>
          <w:szCs w:val="24"/>
        </w:rPr>
        <w:t xml:space="preserve">Backfill Capability</w:t>
      </w:r>
    </w:p>
    <w:p>
      <w:pPr>
        <w:spacing w:after="100" w:line="276"/>
      </w:pPr>
      <w:r>
        <w:rPr>
          <w:rFonts w:ascii="Arial" w:cs="Arial" w:eastAsia="Arial" w:hAnsi="Arial"/>
          <w:color w:val="444444"/>
          <w:sz w:val="19"/>
          <w:szCs w:val="19"/>
        </w:rPr>
        <w:t xml:space="preserve">The monitor supports crawling multiple pages of historical releases via the --backfill flag. The TMB newsroom has approximately 10 pages going back 2+ years. Pagination uses the ?page=N query parameter. A --since flag stops crawling when releases are older than the specified date. Deduplication handles the TMB dual-render (desktop + mobile) HTML that produces duplicate entries.</w:t>
      </w:r>
    </w:p>
    <w:p>
      <w:pPr>
        <w:spacing w:after="60"/>
      </w:pPr>
    </w:p>
    <w:p>
      <w:pPr>
        <w:spacing w:before="220" w:after="100"/>
      </w:pPr>
      <w:r>
        <w:rPr>
          <w:rFonts w:ascii="Arial" w:cs="Arial" w:eastAsia="Arial" w:hAnsi="Arial"/>
          <w:b/>
          <w:bCs/>
          <w:color w:val="D4A017"/>
          <w:sz w:val="24"/>
          <w:szCs w:val="24"/>
        </w:rPr>
        <w:t xml:space="preserve">Initial Results</w:t>
      </w:r>
    </w:p>
    <w:p>
      <w:pPr>
        <w:spacing w:after="100" w:line="276"/>
      </w:pPr>
      <w:r>
        <w:rPr>
          <w:rFonts w:ascii="Arial" w:cs="Arial" w:eastAsia="Arial" w:hAnsi="Arial"/>
          <w:color w:val="444444"/>
          <w:sz w:val="19"/>
          <w:szCs w:val="19"/>
        </w:rPr>
        <w:t xml:space="preserve">Backfill of 6 months (September 2025 to March 2026) identified 12 releases including 4 emergency physician suspensions: Jaffer (Sugar Land, Lic N2128, SBA drugs), Molina (Austin, Lic T1471, SBA drugs), Hamlin (Addison, Lic M6172, SBA quality of care + substance), Perez (San Antonio, Lic M8247, SBA sexual misconduct). All 4 confirmed present in the TMB Board Action Data file with matching license numbers and SBA status codes.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lib/monitoring/tmb-newsroom-monitor.ts: </w:t>
      </w:r>
      <w:r>
        <w:rPr>
          <w:rFonts w:ascii="Arial" w:cs="Arial" w:eastAsia="Arial" w:hAnsi="Arial"/>
          <w:color w:val="444444"/>
          <w:sz w:val="19"/>
          <w:szCs w:val="19"/>
        </w:rPr>
        <w:t xml:space="preserve">Core: TMBNewsroomMonitor with checkForNewActions(), backfill(), fetchNewsroomPage()</w:t>
      </w:r>
    </w:p>
    <w:p>
      <w:pPr>
        <w:spacing w:after="80" w:line="276"/>
      </w:pPr>
      <w:r>
        <w:rPr>
          <w:rFonts w:ascii="Arial" w:cs="Arial" w:eastAsia="Arial" w:hAnsi="Arial"/>
          <w:b/>
          <w:bCs/>
          <w:color w:val="0B1E3D"/>
          <w:sz w:val="19"/>
          <w:szCs w:val="19"/>
        </w:rPr>
        <w:t xml:space="preserve">scripts/run-tmb-monitor.ts: </w:t>
      </w:r>
      <w:r>
        <w:rPr>
          <w:rFonts w:ascii="Arial" w:cs="Arial" w:eastAsia="Arial" w:hAnsi="Arial"/>
          <w:color w:val="444444"/>
          <w:sz w:val="19"/>
          <w:szCs w:val="19"/>
        </w:rPr>
        <w:t xml:space="preserve">CLI: --backfill, --pages N, --since YYYY-MM-DD, --dry-run</w:t>
      </w:r>
    </w:p>
    <w:p>
      <w:pPr>
        <w:spacing w:after="80" w:line="276"/>
      </w:pPr>
      <w:r>
        <w:rPr>
          <w:rFonts w:ascii="Arial" w:cs="Arial" w:eastAsia="Arial" w:hAnsi="Arial"/>
          <w:b/>
          <w:bCs/>
          <w:color w:val="0B1E3D"/>
          <w:sz w:val="19"/>
          <w:szCs w:val="19"/>
        </w:rPr>
        <w:t xml:space="preserve">.github/workflows/tmb-newsroom-monitor.yml: </w:t>
      </w:r>
      <w:r>
        <w:rPr>
          <w:rFonts w:ascii="Arial" w:cs="Arial" w:eastAsia="Arial" w:hAnsi="Arial"/>
          <w:color w:val="444444"/>
          <w:sz w:val="19"/>
          <w:szCs w:val="19"/>
        </w:rPr>
        <w:t xml:space="preserve">Standalone Wednesday 4am UTC</w:t>
      </w:r>
    </w:p>
    <w:p>
      <w:pPr>
        <w:spacing w:after="80" w:line="276"/>
      </w:pPr>
      <w:r>
        <w:rPr>
          <w:rFonts w:ascii="Arial" w:cs="Arial" w:eastAsia="Arial" w:hAnsi="Arial"/>
          <w:b/>
          <w:bCs/>
          <w:color w:val="0B1E3D"/>
          <w:sz w:val="19"/>
          <w:szCs w:val="19"/>
        </w:rPr>
        <w:t xml:space="preserve">migration-tmb-newsroom-monitor.sql: </w:t>
      </w:r>
      <w:r>
        <w:rPr>
          <w:rFonts w:ascii="Arial" w:cs="Arial" w:eastAsia="Arial" w:hAnsi="Arial"/>
          <w:color w:val="444444"/>
          <w:sz w:val="19"/>
          <w:szCs w:val="19"/>
        </w:rPr>
        <w:t xml:space="preserve">Schema: tmb_processed_releases tracking table</w:t>
      </w:r>
    </w:p>
    <w:p>
      <w:r>
        <w:br w:type="page"/>
      </w:r>
    </w:p>
    <w:p>
      <w:pPr>
        <w:spacing w:before="400" w:after="200"/>
      </w:pPr>
      <w:r>
        <w:rPr>
          <w:rFonts w:ascii="Arial" w:cs="Arial" w:eastAsia="Arial" w:hAnsi="Arial"/>
          <w:b/>
          <w:bCs/>
          <w:color w:val="0B1E3D"/>
          <w:sz w:val="32"/>
          <w:szCs w:val="32"/>
        </w:rPr>
        <w:t xml:space="preserve">25. PECOS API Integration (Pipeline Rewrite)</w:t>
      </w:r>
    </w:p>
    <w:p>
      <w:pPr>
        <w:spacing w:after="100" w:line="276"/>
      </w:pPr>
      <w:r>
        <w:rPr>
          <w:rFonts w:ascii="Arial" w:cs="Arial" w:eastAsia="Arial" w:hAnsi="Arial"/>
          <w:color w:val="444444"/>
          <w:sz w:val="19"/>
          <w:szCs w:val="19"/>
        </w:rPr>
        <w:t xml:space="preserve">The original PECOS ingest pipeline downloaded a 500MB CSV file by resolving the download URL from the CMS data.json catalog (100MB+ JSON file). The catalog fetch consistently timed out on both local machines and GitHub Actions. Replaced with direct CMS Data API calls.</w:t>
      </w:r>
    </w:p>
    <w:p>
      <w:pPr>
        <w:spacing w:after="60"/>
      </w:pPr>
    </w:p>
    <w:p>
      <w:pPr>
        <w:spacing w:before="220" w:after="100"/>
      </w:pPr>
      <w:r>
        <w:rPr>
          <w:rFonts w:ascii="Arial" w:cs="Arial" w:eastAsia="Arial" w:hAnsi="Arial"/>
          <w:b/>
          <w:bCs/>
          <w:color w:val="D4A017"/>
          <w:sz w:val="24"/>
          <w:szCs w:val="24"/>
        </w:rPr>
        <w:t xml:space="preserve">CMS Data API Approach</w:t>
      </w:r>
    </w:p>
    <w:p>
      <w:pPr>
        <w:spacing w:after="100" w:line="276"/>
      </w:pPr>
      <w:r>
        <w:rPr>
          <w:rFonts w:ascii="Arial" w:cs="Arial" w:eastAsia="Arial" w:hAnsi="Arial"/>
          <w:color w:val="444444"/>
          <w:sz w:val="19"/>
          <w:szCs w:val="19"/>
        </w:rPr>
        <w:t xml:space="preserve">The CMS Data API at data.cms.gov/data-api/v1/dataset/{id}/data supports server-side filtering by state (filter[STATE_CD]=TX), pagination (size=5000, offset=N), and returns JSON directly. Dataset ID 2457ea29-fc82-48b0-86ec-3b0755de7515 is the base enrollment file. 205,632 TX records fetched in 37 seconds. After NPI deduplication (multiple enrollments per provider), 203,834 unique records upserted in 147 seconds.</w:t>
      </w:r>
    </w:p>
    <w:p>
      <w:pPr>
        <w:spacing w:after="60"/>
      </w:pPr>
    </w:p>
    <w:p>
      <w:pPr>
        <w:spacing w:before="220" w:after="100"/>
      </w:pPr>
      <w:r>
        <w:rPr>
          <w:rFonts w:ascii="Arial" w:cs="Arial" w:eastAsia="Arial" w:hAnsi="Arial"/>
          <w:b/>
          <w:bCs/>
          <w:color w:val="D4A017"/>
          <w:sz w:val="24"/>
          <w:szCs w:val="24"/>
        </w:rPr>
        <w:t xml:space="preserve">Reassignment Dataset (Pending)</w:t>
      </w:r>
    </w:p>
    <w:p>
      <w:pPr>
        <w:spacing w:after="100" w:line="276"/>
      </w:pPr>
      <w:r>
        <w:rPr>
          <w:rFonts w:ascii="Arial" w:cs="Arial" w:eastAsia="Arial" w:hAnsi="Arial"/>
          <w:color w:val="444444"/>
          <w:sz w:val="19"/>
          <w:szCs w:val="19"/>
        </w:rPr>
        <w:t xml:space="preserve">The PECOS reassignment dataset maps individual provider NPIs to the organizations they bill through (RNDRNG_NPI to RCV_NPI). Dataset ID not yet discovered. Once available, this enables pre-populating practice_providers by matching practice_websites org NPIs to receiving NPIs in the reassignment data. Currently, address co-location matching fills this gap.</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lib/nppes/pecos-client.ts: </w:t>
      </w:r>
      <w:r>
        <w:rPr>
          <w:rFonts w:ascii="Arial" w:cs="Arial" w:eastAsia="Arial" w:hAnsi="Arial"/>
          <w:color w:val="444444"/>
          <w:sz w:val="19"/>
          <w:szCs w:val="19"/>
        </w:rPr>
        <w:t xml:space="preserve">Rewritten: fetchPecosFromApi() with pagination, deduplication, on_conflict upsert. Legacy file-based functions retained as fallback.</w:t>
      </w:r>
    </w:p>
    <w:p>
      <w:pPr>
        <w:spacing w:after="80" w:line="276"/>
      </w:pPr>
      <w:r>
        <w:rPr>
          <w:rFonts w:ascii="Arial" w:cs="Arial" w:eastAsia="Arial" w:hAnsi="Arial"/>
          <w:b/>
          <w:bCs/>
          <w:color w:val="0B1E3D"/>
          <w:sz w:val="19"/>
          <w:szCs w:val="19"/>
        </w:rPr>
        <w:t xml:space="preserve">scripts/pecos-monthly-sync.ts: </w:t>
      </w:r>
      <w:r>
        <w:rPr>
          <w:rFonts w:ascii="Arial" w:cs="Arial" w:eastAsia="Arial" w:hAnsi="Arial"/>
          <w:color w:val="444444"/>
          <w:sz w:val="19"/>
          <w:szCs w:val="19"/>
        </w:rPr>
        <w:t xml:space="preserve">Rewritten: uses CMS Data API, --states TX flag, --dry-run support</w:t>
      </w:r>
    </w:p>
    <w:p>
      <w:r>
        <w:br w:type="page"/>
      </w:r>
    </w:p>
    <w:p>
      <w:pPr>
        <w:spacing w:before="400" w:after="200"/>
      </w:pPr>
      <w:r>
        <w:rPr>
          <w:rFonts w:ascii="Arial" w:cs="Arial" w:eastAsia="Arial" w:hAnsi="Arial"/>
          <w:b/>
          <w:bCs/>
          <w:color w:val="0B1E3D"/>
          <w:sz w:val="32"/>
          <w:szCs w:val="32"/>
        </w:rPr>
        <w:t xml:space="preserve">26. Address Co-Location Engine (New)</w:t>
      </w:r>
    </w:p>
    <w:p>
      <w:pPr>
        <w:spacing w:after="100" w:line="276"/>
      </w:pPr>
      <w:r>
        <w:rPr>
          <w:rFonts w:ascii="Arial" w:cs="Arial" w:eastAsia="Arial" w:hAnsi="Arial"/>
          <w:color w:val="444444"/>
          <w:sz w:val="19"/>
          <w:szCs w:val="19"/>
        </w:rPr>
        <w:t xml:space="preserve">Pre-populates practice_providers by matching NPPES practice addresses, dramatically improving provider match rates from 8% (web scraping only) to 43.8%. This approach bypasses HTML extraction entirely for provider detection.</w:t>
      </w:r>
    </w:p>
    <w:p>
      <w:pPr>
        <w:spacing w:after="60"/>
      </w:pPr>
    </w:p>
    <w:p>
      <w:pPr>
        <w:spacing w:before="220" w:after="100"/>
      </w:pPr>
      <w:r>
        <w:rPr>
          <w:rFonts w:ascii="Arial" w:cs="Arial" w:eastAsia="Arial" w:hAnsi="Arial"/>
          <w:b/>
          <w:bCs/>
          <w:color w:val="D4A017"/>
          <w:sz w:val="24"/>
          <w:szCs w:val="24"/>
        </w:rPr>
        <w:t xml:space="preserve">Algorithm</w:t>
      </w:r>
    </w:p>
    <w:p>
      <w:pPr>
        <w:spacing w:after="100" w:line="276"/>
      </w:pPr>
      <w:r>
        <w:rPr>
          <w:rFonts w:ascii="Arial" w:cs="Arial" w:eastAsia="Arial" w:hAnsi="Arial"/>
          <w:color w:val="444444"/>
          <w:sz w:val="19"/>
          <w:szCs w:val="19"/>
        </w:rPr>
        <w:t xml:space="preserve">For each practice_website (which has an org NPI from the registry): (1) look up the Type 2 org in the providers table to get its practice address, (2) query all Type 1 individuals in providers with the exact same address_line_1, city, and state, (3) insert matches into practice_providers as DETECTED/UNVERIFIED associations. The address comparison uses exact match (NPPES stores all addresses in uppercase) which hits the B-tree index directly.</w:t>
      </w:r>
    </w:p>
    <w:p>
      <w:pPr>
        <w:spacing w:after="60"/>
      </w:pPr>
    </w:p>
    <w:p>
      <w:pPr>
        <w:spacing w:before="220" w:after="100"/>
      </w:pPr>
      <w:r>
        <w:rPr>
          <w:rFonts w:ascii="Arial" w:cs="Arial" w:eastAsia="Arial" w:hAnsi="Arial"/>
          <w:b/>
          <w:bCs/>
          <w:color w:val="D4A017"/>
          <w:sz w:val="24"/>
          <w:szCs w:val="24"/>
        </w:rPr>
        <w:t xml:space="preserve">Results</w:t>
      </w:r>
    </w:p>
    <w:p>
      <w:pPr>
        <w:spacing w:after="100" w:line="276"/>
      </w:pPr>
      <w:r>
        <w:rPr>
          <w:rFonts w:ascii="Arial" w:cs="Arial" w:eastAsia="Arial" w:hAnsi="Arial"/>
          <w:color w:val="444444"/>
          <w:sz w:val="19"/>
          <w:szCs w:val="19"/>
        </w:rPr>
        <w:t xml:space="preserve">Processed 25,372 practice websites in 12.5 hours. Found 33,863 provider associations across 11,102 sites (43.8% match rate). Large medical complexes like 7777 Forest Ln, Dallas returned 50 co-located providers. Smaller practices averaged 3-5 providers. Combined with the 7 providers from web scraping, total practice_providers reached 34,266.</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scripts/populate-practice-providers.ts: </w:t>
      </w:r>
      <w:r>
        <w:rPr>
          <w:rFonts w:ascii="Arial" w:cs="Arial" w:eastAsia="Arial" w:hAnsi="Arial"/>
          <w:color w:val="444444"/>
          <w:sz w:val="19"/>
          <w:szCs w:val="19"/>
        </w:rPr>
        <w:t xml:space="preserve">Orchestrator with --limit, --offset, --dry-run. Uses exact NPPES address matching.</w:t>
      </w:r>
    </w:p>
    <w:p>
      <w:pPr>
        <w:spacing w:after="80" w:line="276"/>
      </w:pPr>
      <w:r>
        <w:rPr>
          <w:rFonts w:ascii="Arial" w:cs="Arial" w:eastAsia="Arial" w:hAnsi="Arial"/>
          <w:b/>
          <w:bCs/>
          <w:color w:val="0B1E3D"/>
          <w:sz w:val="19"/>
          <w:szCs w:val="19"/>
        </w:rPr>
        <w:t xml:space="preserve">migration-address-colocation-indexes.sql: </w:t>
      </w:r>
      <w:r>
        <w:rPr>
          <w:rFonts w:ascii="Arial" w:cs="Arial" w:eastAsia="Arial" w:hAnsi="Arial"/>
          <w:color w:val="444444"/>
          <w:sz w:val="19"/>
          <w:szCs w:val="19"/>
        </w:rPr>
        <w:t xml:space="preserve">Indexes: address_colocation composite, npi_type2, lastname_state_type1, unique constraint</w:t>
      </w:r>
    </w:p>
    <w:p>
      <w:r>
        <w:br w:type="page"/>
      </w:r>
    </w:p>
    <w:p>
      <w:pPr>
        <w:spacing w:before="400" w:after="200"/>
      </w:pPr>
      <w:r>
        <w:rPr>
          <w:rFonts w:ascii="Arial" w:cs="Arial" w:eastAsia="Arial" w:hAnsi="Arial"/>
          <w:b/>
          <w:bCs/>
          <w:color w:val="0B1E3D"/>
          <w:sz w:val="32"/>
          <w:szCs w:val="32"/>
        </w:rPr>
        <w:t xml:space="preserve">27. TMB Data Loader (New)</w:t>
      </w:r>
    </w:p>
    <w:p>
      <w:pPr>
        <w:spacing w:after="100" w:line="276"/>
      </w:pPr>
      <w:r>
        <w:rPr>
          <w:rFonts w:ascii="Arial" w:cs="Arial" w:eastAsia="Arial" w:hAnsi="Arial"/>
          <w:color w:val="444444"/>
          <w:sz w:val="19"/>
          <w:szCs w:val="19"/>
        </w:rPr>
        <w:t xml:space="preserve">Python-based loader for two TMB ORSSP data products, populating the provider_licenses table with the full Texas physician roster and disciplinary action overlay.</w:t>
      </w:r>
    </w:p>
    <w:p>
      <w:pPr>
        <w:spacing w:after="60"/>
      </w:pPr>
    </w:p>
    <w:p>
      <w:pPr>
        <w:spacing w:before="220" w:after="100"/>
      </w:pPr>
      <w:r>
        <w:rPr>
          <w:rFonts w:ascii="Arial" w:cs="Arial" w:eastAsia="Arial" w:hAnsi="Arial"/>
          <w:b/>
          <w:bCs/>
          <w:color w:val="D4A017"/>
          <w:sz w:val="24"/>
          <w:szCs w:val="24"/>
        </w:rPr>
        <w:t xml:space="preserve">Physician Database (PHY File)</w:t>
      </w:r>
    </w:p>
    <w:p>
      <w:pPr>
        <w:spacing w:after="100" w:line="276"/>
      </w:pPr>
      <w:r>
        <w:rPr>
          <w:rFonts w:ascii="Arial" w:cs="Arial" w:eastAsia="Arial" w:hAnsi="Arial"/>
          <w:color w:val="444444"/>
          <w:sz w:val="19"/>
          <w:szCs w:val="19"/>
        </w:rPr>
        <w:t xml:space="preserve">Pipe-delimited file with 36 fields per record (originally specified as 508-character fixed-width, but received in pipe-delimited format). Contains 182,539 Texas physicians including 105,266 active, 29,806 cancelled non-payment, 12,680 inactive, 11,874 deceased. Fields include license number, name, practice address, mailing address, specialty (primary + secondary), medical school, degree, license issuance/expiration dates, registration status code, county, gender. Loaded as the base roster in provider_licenses.</w:t>
      </w:r>
    </w:p>
    <w:p>
      <w:pPr>
        <w:spacing w:after="60"/>
      </w:pPr>
    </w:p>
    <w:p>
      <w:pPr>
        <w:spacing w:before="220" w:after="100"/>
      </w:pPr>
      <w:r>
        <w:rPr>
          <w:rFonts w:ascii="Arial" w:cs="Arial" w:eastAsia="Arial" w:hAnsi="Arial"/>
          <w:b/>
          <w:bCs/>
          <w:color w:val="D4A017"/>
          <w:sz w:val="24"/>
          <w:szCs w:val="24"/>
        </w:rPr>
        <w:t xml:space="preserve">Board Action Data (BAD File)</w:t>
      </w:r>
    </w:p>
    <w:p>
      <w:pPr>
        <w:spacing w:after="100" w:line="276"/>
      </w:pPr>
      <w:r>
        <w:rPr>
          <w:rFonts w:ascii="Arial" w:cs="Arial" w:eastAsia="Arial" w:hAnsi="Arial"/>
          <w:color w:val="444444"/>
          <w:sz w:val="19"/>
          <w:szCs w:val="19"/>
        </w:rPr>
        <w:t xml:space="preserve">XLS file with 33 columns, 15,835 rows of disciplinary actions since January 1989. Includes license number, physician name, addresses, violation type (MPA_PRIMARY), order disposition (ORDER_DISP), registration status, appeal status. After deduplication by license number (keeping most recent action per physician), 9,786 unique records overlaid onto the PHY base roster with has_disciplinary_action = true and disciplinary_details containing the action type and violation. 108 records have SBA (Suspended by the Board - Active) status.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scripts/load-tmb-data.py: </w:t>
      </w:r>
      <w:r>
        <w:rPr>
          <w:rFonts w:ascii="Arial" w:cs="Arial" w:eastAsia="Arial" w:hAnsi="Arial"/>
          <w:color w:val="444444"/>
          <w:sz w:val="19"/>
          <w:szCs w:val="19"/>
        </w:rPr>
        <w:t xml:space="preserve">Combined loader: --phy for physician roster, --bad for board actions, --dry-run support</w:t>
      </w:r>
    </w:p>
    <w:p>
      <w:pPr>
        <w:spacing w:after="60"/>
      </w:pPr>
    </w:p>
    <w:p>
      <w:pPr>
        <w:spacing w:after="60"/>
      </w:pPr>
    </w:p>
    <w:p>
      <w:r>
        <w:br w:type="page"/>
      </w:r>
    </w:p>
    <w:p>
      <w:pPr>
        <w:spacing w:before="400" w:after="200"/>
      </w:pPr>
      <w:r>
        <w:rPr>
          <w:rFonts w:ascii="Arial" w:cs="Arial" w:eastAsia="Arial" w:hAnsi="Arial"/>
          <w:b/>
          <w:bCs/>
          <w:color w:val="0B1E3D"/>
          <w:sz w:val="32"/>
          <w:szCs w:val="32"/>
        </w:rPr>
        <w:t xml:space="preserve">28. Provider Pre-Seeding — Phase 1 Website Extraction (New)</w:t>
      </w:r>
    </w:p>
    <w:p>
      <w:pPr>
        <w:spacing w:after="100" w:line="276"/>
      </w:pPr>
      <w:r>
        <w:rPr>
          <w:rFonts w:ascii="Arial" w:cs="Arial" w:eastAsia="Arial" w:hAnsi="Arial"/>
          <w:color w:val="444444"/>
          <w:sz w:val="19"/>
          <w:szCs w:val="19"/>
        </w:rPr>
        <w:t xml:space="preserve">Address co-location (feature 26) brought match rates to 43.8%, but lacked specialty data. Phase 1 extraction scrapes provider names, credentials, and specialties directly from practice websites using HTTP-only crawling (no headless browser), enabling specialty mismatch detection against NPPES taxonomy codes and pre-populating the web_specialty field on practice_providers.</w:t>
      </w:r>
    </w:p>
    <w:p>
      <w:pPr>
        <w:spacing w:after="60"/>
      </w:pPr>
    </w:p>
    <w:p>
      <w:pPr>
        <w:spacing w:before="220" w:after="100"/>
      </w:pPr>
      <w:r>
        <w:rPr>
          <w:rFonts w:ascii="Arial" w:cs="Arial" w:eastAsia="Arial" w:hAnsi="Arial"/>
          <w:b/>
          <w:bCs/>
          <w:color w:val="D4A017"/>
          <w:sz w:val="24"/>
          <w:szCs w:val="24"/>
        </w:rPr>
        <w:t xml:space="preserve">Three-Stage Extraction Pipeline</w:t>
      </w:r>
    </w:p>
    <w:p>
      <w:pPr>
        <w:spacing w:after="100" w:line="276"/>
      </w:pPr>
      <w:r>
        <w:rPr>
          <w:rFonts w:ascii="Arial" w:cs="Arial" w:eastAsia="Arial" w:hAnsi="Arial"/>
          <w:color w:val="444444"/>
          <w:sz w:val="19"/>
          <w:szCs w:val="19"/>
        </w:rPr>
        <w:t xml:space="preserve">Stage 1: Schema.org JSON-LD parsing (confidence 0.9). Extracts Physician types and MedicalOrganization members with structured specialty data. Stage 2: Structured HTML list matching (confidence 0.75–0.85). Detects provider page patterns across 55 common URL paths (/providers, /physicians, /our-team, /doctors, /staff, etc.) and parses heading + list structures. Stage 3: Freeform HTML regex (confidence 0.7–0.8). Matches “Name, Credential” and “Dr. Name” patterns against 104 credential abbreviations and 65 specialty keywords. Deduplication keeps the highest-confidence match per normalized provider name.</w:t>
      </w:r>
    </w:p>
    <w:p>
      <w:pPr>
        <w:spacing w:after="60"/>
      </w:pPr>
    </w:p>
    <w:p>
      <w:pPr>
        <w:spacing w:before="220" w:after="100"/>
      </w:pPr>
      <w:r>
        <w:rPr>
          <w:rFonts w:ascii="Arial" w:cs="Arial" w:eastAsia="Arial" w:hAnsi="Arial"/>
          <w:b/>
          <w:bCs/>
          <w:color w:val="D4A017"/>
          <w:sz w:val="24"/>
          <w:szCs w:val="24"/>
        </w:rPr>
        <w:t xml:space="preserve">Scan Integration</w:t>
      </w:r>
    </w:p>
    <w:p>
      <w:pPr>
        <w:spacing w:after="100" w:line="276"/>
      </w:pPr>
      <w:r>
        <w:rPr>
          <w:rFonts w:ascii="Arial" w:cs="Arial" w:eastAsia="Arial" w:hAnsi="Arial"/>
          <w:color w:val="444444"/>
          <w:sz w:val="19"/>
          <w:szCs w:val="19"/>
        </w:rPr>
        <w:t xml:space="preserve">Phase 1 runs as step 3a in scan-scheduler.ts after provider name matching, with a 15-second timeout and 3-page maximum crawl depth. Extracted specialties are written to practice_providers.web_specialty for each matched NPI. The specialty mismatch badge (orange, “Specialty”) surfaces on the provider roster whenever web_specialty diverges from the NPPES taxonomy description.</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lib/crawl/provider-extractor.ts: </w:t>
      </w:r>
      <w:r>
        <w:rPr>
          <w:rFonts w:ascii="Arial" w:cs="Arial" w:eastAsia="Arial" w:hAnsi="Arial"/>
          <w:color w:val="444444"/>
          <w:sz w:val="19"/>
          <w:szCs w:val="19"/>
        </w:rPr>
        <w:t xml:space="preserve">Core: extractProvidersFromWebsite() with three-stage pipeline, 55 URL paths, 104 credentials, 65 specialties</w:t>
      </w:r>
    </w:p>
    <w:p>
      <w:pPr>
        <w:spacing w:after="80" w:line="276"/>
      </w:pPr>
      <w:r>
        <w:rPr>
          <w:rFonts w:ascii="Arial" w:cs="Arial" w:eastAsia="Arial" w:hAnsi="Arial"/>
          <w:b/>
          <w:bCs/>
          <w:color w:val="0B1E3D"/>
          <w:sz w:val="19"/>
          <w:szCs w:val="19"/>
        </w:rPr>
        <w:t xml:space="preserve">lib/scanner/scan-scheduler.ts: </w:t>
      </w:r>
      <w:r>
        <w:rPr>
          <w:rFonts w:ascii="Arial" w:cs="Arial" w:eastAsia="Arial" w:hAnsi="Arial"/>
          <w:color w:val="444444"/>
          <w:sz w:val="19"/>
          <w:szCs w:val="19"/>
        </w:rPr>
        <w:t xml:space="preserve">Patched: step 3a Phase 1 extraction block, writes web_specialty per matched provider</w:t>
      </w:r>
    </w:p>
    <w:p>
      <w:pPr>
        <w:spacing w:after="80" w:line="276"/>
      </w:pPr>
      <w:r>
        <w:rPr>
          <w:rFonts w:ascii="Arial" w:cs="Arial" w:eastAsia="Arial" w:hAnsi="Arial"/>
          <w:b/>
          <w:bCs/>
          <w:color w:val="0B1E3D"/>
          <w:sz w:val="19"/>
          <w:szCs w:val="19"/>
        </w:rPr>
        <w:t xml:space="preserve">components/dashboard/ProviderRosterView.tsx: </w:t>
      </w:r>
      <w:r>
        <w:rPr>
          <w:rFonts w:ascii="Arial" w:cs="Arial" w:eastAsia="Arial" w:hAnsi="Arial"/>
          <w:color w:val="444444"/>
          <w:sz w:val="19"/>
          <w:szCs w:val="19"/>
        </w:rPr>
        <w:t xml:space="preserve">Patched: specialty mismatch badge (orange), has_taxonomy_mismatch display, issue tooltip</w:t>
      </w:r>
    </w:p>
    <w:p>
      <w:pPr>
        <w:spacing w:after="60"/>
      </w:pPr>
    </w:p>
    <w:p>
      <w:r>
        <w:br w:type="page"/>
      </w:r>
    </w:p>
    <w:p>
      <w:pPr>
        <w:spacing w:before="400" w:after="200"/>
      </w:pPr>
      <w:r>
        <w:rPr>
          <w:rFonts w:ascii="Arial" w:cs="Arial" w:eastAsia="Arial" w:hAnsi="Arial"/>
          <w:b/>
          <w:bCs/>
          <w:color w:val="0B1E3D"/>
          <w:sz w:val="32"/>
          <w:szCs w:val="32"/>
        </w:rPr>
        <w:t xml:space="preserve">29. EHR Vendor AI Detection — AI-05 (New)</w:t>
      </w:r>
    </w:p>
    <w:p>
      <w:pPr>
        <w:spacing w:after="100" w:line="276"/>
      </w:pPr>
      <w:r>
        <w:rPr>
          <w:rFonts w:ascii="Arial" w:cs="Arial" w:eastAsia="Arial" w:hAnsi="Arial"/>
          <w:color w:val="444444"/>
          <w:sz w:val="19"/>
          <w:szCs w:val="19"/>
        </w:rPr>
        <w:t xml:space="preserve">Texas HB 149 and California AB 3030 require disclosure when AI-powered tools are used in clinical care. Most practices don’t realize their EHR vendor has embedded AI features (Epic’s cognitive computing, eClinicalWorks’ Sunoh.ai with 125+ AI features, Athena’s ambient documentation). This check detects AI-enabled EHR vendors on a practice website and verifies whether a corresponding disclosure statement is present.</w:t>
      </w:r>
    </w:p>
    <w:p>
      <w:pPr>
        <w:spacing w:after="60"/>
      </w:pPr>
    </w:p>
    <w:p>
      <w:pPr>
        <w:spacing w:before="220" w:after="100"/>
      </w:pPr>
      <w:r>
        <w:rPr>
          <w:rFonts w:ascii="Arial" w:cs="Arial" w:eastAsia="Arial" w:hAnsi="Arial"/>
          <w:b/>
          <w:bCs/>
          <w:color w:val="D4A017"/>
          <w:sz w:val="24"/>
          <w:szCs w:val="24"/>
        </w:rPr>
        <w:t xml:space="preserve">Detection Algorithm</w:t>
      </w:r>
    </w:p>
    <w:p>
      <w:pPr>
        <w:spacing w:after="100" w:line="276"/>
      </w:pPr>
      <w:r>
        <w:rPr>
          <w:rFonts w:ascii="Arial" w:cs="Arial" w:eastAsia="Arial" w:hAnsi="Arial"/>
          <w:color w:val="444444"/>
          <w:sz w:val="19"/>
          <w:szCs w:val="19"/>
        </w:rPr>
        <w:t xml:space="preserve">The check scans HTML content and all href URLs against an EHR_AI_REGISTRY of 18 vendor signatures (Epic, Cerner, NextGen, Athena, AllScripts, eClinicalWorks, DrChrono, Kareo, etc.) and a complementary EHR_URL_PATTERNS set for patient portal domains (mychart.com, healow.com, followmyhealth.com). Each vendor entry in the registry includes known AI feature names and confidence level (confirmed, likely, possible). When a vendor is detected, the check searches page text for 17 AI disclosure keywords (“ai disclosure,” “machine learning,” “ai-assisted,” “predictive model,” etc.), requiring 2+ keyword matches to consider disclosure present. Pass: no EHR detected (info) or EHR detected with disclosure present (advisory). Fail: EHR detected with no disclosure (severity high for confirmed, medium for likely/possible).</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lib/scanner/compliance-checks.ts: </w:t>
      </w:r>
      <w:r>
        <w:rPr>
          <w:rFonts w:ascii="Arial" w:cs="Arial" w:eastAsia="Arial" w:hAnsi="Arial"/>
          <w:color w:val="444444"/>
          <w:sz w:val="19"/>
          <w:szCs w:val="19"/>
        </w:rPr>
        <w:t xml:space="preserve">Core: checkAI05() EHR vendor detection, wired into runComplianceChecks() scan chain (AI-01..05)</w:t>
      </w:r>
    </w:p>
    <w:p>
      <w:pPr>
        <w:spacing w:after="80" w:line="276"/>
      </w:pPr>
      <w:r>
        <w:rPr>
          <w:rFonts w:ascii="Arial" w:cs="Arial" w:eastAsia="Arial" w:hAnsi="Arial"/>
          <w:b/>
          <w:bCs/>
          <w:color w:val="0B1E3D"/>
          <w:sz w:val="19"/>
          <w:szCs w:val="19"/>
        </w:rPr>
        <w:t xml:space="preserve">components/dashboard/ComplianceView.tsx: </w:t>
      </w:r>
      <w:r>
        <w:rPr>
          <w:rFonts w:ascii="Arial" w:cs="Arial" w:eastAsia="Arial" w:hAnsi="Arial"/>
          <w:color w:val="444444"/>
          <w:sz w:val="19"/>
          <w:szCs w:val="19"/>
        </w:rPr>
        <w:t xml:space="preserve">Patched: EHR Vendor AI Disclosure section added to HB 149 remediation template</w:t>
      </w:r>
    </w:p>
    <w:p>
      <w:pPr>
        <w:spacing w:after="80" w:line="276"/>
      </w:pPr>
      <w:r>
        <w:rPr>
          <w:rFonts w:ascii="Arial" w:cs="Arial" w:eastAsia="Arial" w:hAnsi="Arial"/>
          <w:b/>
          <w:bCs/>
          <w:color w:val="0B1E3D"/>
          <w:sz w:val="19"/>
          <w:szCs w:val="19"/>
        </w:rPr>
        <w:t xml:space="preserve">components/dashboard/HelpCenter.tsx: </w:t>
      </w:r>
      <w:r>
        <w:rPr>
          <w:rFonts w:ascii="Arial" w:cs="Arial" w:eastAsia="Arial" w:hAnsi="Arial"/>
          <w:color w:val="444444"/>
          <w:sz w:val="19"/>
          <w:szCs w:val="19"/>
        </w:rPr>
        <w:t xml:space="preserve">Patched: “EHR Vendor AI Detection (AI-05)” topic in Compliance Scanning category</w:t>
      </w:r>
    </w:p>
    <w:p>
      <w:pPr>
        <w:spacing w:after="60"/>
      </w:pPr>
    </w:p>
    <w:p>
      <w:r>
        <w:br w:type="page"/>
      </w:r>
    </w:p>
    <w:p>
      <w:pPr>
        <w:spacing w:before="400" w:after="200"/>
      </w:pPr>
      <w:r>
        <w:rPr>
          <w:rFonts w:ascii="Arial" w:cs="Arial" w:eastAsia="Arial" w:hAnsi="Arial"/>
          <w:b/>
          <w:bCs/>
          <w:color w:val="0B1E3D"/>
          <w:sz w:val="32"/>
          <w:szCs w:val="32"/>
        </w:rPr>
        <w:t xml:space="preserve">30. Tiered Scan Scheduling (New)</w:t>
      </w:r>
    </w:p>
    <w:p>
      <w:pPr>
        <w:spacing w:after="100" w:line="276"/>
      </w:pPr>
      <w:r>
        <w:rPr>
          <w:rFonts w:ascii="Arial" w:cs="Arial" w:eastAsia="Arial" w:hAnsi="Arial"/>
          <w:color w:val="444444"/>
          <w:sz w:val="19"/>
          <w:szCs w:val="19"/>
        </w:rPr>
        <w:t xml:space="preserve">The single weekly scan-and-delta workflow treated all 57,000+ practices identically. Enterprise customers paying for daily monitoring waited a week; free-tier practices consumed the same scan budget as paid accounts. This feature introduces a three-tier scan cadence tied to subscription tier, plus automatic promotion when a practice claims their account.</w:t>
      </w:r>
    </w:p>
    <w:p>
      <w:pPr>
        <w:spacing w:after="60"/>
      </w:pPr>
    </w:p>
    <w:p>
      <w:pPr>
        <w:spacing w:before="220" w:after="100"/>
      </w:pPr>
      <w:r>
        <w:rPr>
          <w:rFonts w:ascii="Arial" w:cs="Arial" w:eastAsia="Arial" w:hAnsi="Arial"/>
          <w:b/>
          <w:bCs/>
          <w:color w:val="D4A017"/>
          <w:sz w:val="24"/>
          <w:szCs w:val="24"/>
        </w:rPr>
        <w:t xml:space="preserve">Cadence Tiers</w:t>
      </w:r>
    </w:p>
    <w:p>
      <w:pPr>
        <w:spacing w:after="100" w:line="276"/>
      </w:pPr>
      <w:r>
        <w:rPr>
          <w:rFonts w:ascii="Arial" w:cs="Arial" w:eastAsia="Arial" w:hAnsi="Arial"/>
          <w:color w:val="444444"/>
          <w:sz w:val="19"/>
          <w:szCs w:val="19"/>
        </w:rPr>
        <w:t xml:space="preserve">Monthly (30 days): free and unclaimed practices — the default for the 57k+ population. Weekly (7 days): claimed practices and paid tiers (shield-practice, shield-solo, safe-harbor, report, snapshot). Daily (1 day): enterprise/CVO tier (shield-enterprise). The resolver function resolveScanTierOnClaim() ensures that claiming a practice auto-promotes to at least weekly, regardless of subscription tier. The finalize-claim API sets scan_scheduled_at to the current timestamp for immediate pickup by the next scheduler run.</w:t>
      </w:r>
    </w:p>
    <w:p>
      <w:pPr>
        <w:spacing w:after="60"/>
      </w:pPr>
    </w:p>
    <w:p>
      <w:pPr>
        <w:spacing w:before="220" w:after="100"/>
      </w:pPr>
      <w:r>
        <w:rPr>
          <w:rFonts w:ascii="Arial" w:cs="Arial" w:eastAsia="Arial" w:hAnsi="Arial"/>
          <w:b/>
          <w:bCs/>
          <w:color w:val="D4A017"/>
          <w:sz w:val="24"/>
          <w:szCs w:val="24"/>
        </w:rPr>
        <w:t xml:space="preserve">GitHub Actions Scheduling</w:t>
      </w:r>
    </w:p>
    <w:p>
      <w:pPr>
        <w:spacing w:after="100" w:line="276"/>
      </w:pPr>
      <w:r>
        <w:rPr>
          <w:rFonts w:ascii="Arial" w:cs="Arial" w:eastAsia="Arial" w:hAnsi="Arial"/>
          <w:color w:val="444444"/>
          <w:sz w:val="19"/>
          <w:szCs w:val="19"/>
        </w:rPr>
        <w:t xml:space="preserve">Two workflows now share the kairologic-scan concurrency group (cancel-in-progress: false). The weekly scan-and-delta.yml (Wednesdays 5am UTC, limit 500) handles the full monthly-tier population. The new scan-daily.yml (daily 6am UTC, limit 100) targets daily-tier, due weekly-tier, and freshly claimed practices. Both call the same scan-scheduler.ts fetchDueSites() which respects scan_tier cadence, so overlap produces no duplicates.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lib/scanner/scan-tier-resolver.ts: </w:t>
      </w:r>
      <w:r>
        <w:rPr>
          <w:rFonts w:ascii="Arial" w:cs="Arial" w:eastAsia="Arial" w:hAnsi="Arial"/>
          <w:color w:val="444444"/>
          <w:sz w:val="19"/>
          <w:szCs w:val="19"/>
        </w:rPr>
        <w:t xml:space="preserve">New: resolveScanTier(), resolveScanTierOnClaim() — subscription-to-cadence mapping</w:t>
      </w:r>
    </w:p>
    <w:p>
      <w:pPr>
        <w:spacing w:after="80" w:line="276"/>
      </w:pPr>
      <w:r>
        <w:rPr>
          <w:rFonts w:ascii="Arial" w:cs="Arial" w:eastAsia="Arial" w:hAnsi="Arial"/>
          <w:b/>
          <w:bCs/>
          <w:color w:val="0B1E3D"/>
          <w:sz w:val="19"/>
          <w:szCs w:val="19"/>
        </w:rPr>
        <w:t xml:space="preserve">app/api/finalize-claim/route.ts: </w:t>
      </w:r>
      <w:r>
        <w:rPr>
          <w:rFonts w:ascii="Arial" w:cs="Arial" w:eastAsia="Arial" w:hAnsi="Arial"/>
          <w:color w:val="444444"/>
          <w:sz w:val="19"/>
          <w:szCs w:val="19"/>
        </w:rPr>
        <w:t xml:space="preserve">Patched: auto-promotes scan_tier on claim, sets scan_scheduled_at for immediate pickup</w:t>
      </w:r>
    </w:p>
    <w:p>
      <w:pPr>
        <w:spacing w:after="80" w:line="276"/>
      </w:pPr>
      <w:r>
        <w:rPr>
          <w:rFonts w:ascii="Arial" w:cs="Arial" w:eastAsia="Arial" w:hAnsi="Arial"/>
          <w:b/>
          <w:bCs/>
          <w:color w:val="0B1E3D"/>
          <w:sz w:val="19"/>
          <w:szCs w:val="19"/>
        </w:rPr>
        <w:t xml:space="preserve">lib/trial/trial-manager.ts: </w:t>
      </w:r>
      <w:r>
        <w:rPr>
          <w:rFonts w:ascii="Arial" w:cs="Arial" w:eastAsia="Arial" w:hAnsi="Arial"/>
          <w:color w:val="444444"/>
          <w:sz w:val="19"/>
          <w:szCs w:val="19"/>
        </w:rPr>
        <w:t xml:space="preserve">Patched: uses shared resolveScanTier() on subscription upgrade</w:t>
      </w:r>
    </w:p>
    <w:p>
      <w:pPr>
        <w:spacing w:after="80" w:line="276"/>
      </w:pPr>
      <w:r>
        <w:rPr>
          <w:rFonts w:ascii="Arial" w:cs="Arial" w:eastAsia="Arial" w:hAnsi="Arial"/>
          <w:b/>
          <w:bCs/>
          <w:color w:val="0B1E3D"/>
          <w:sz w:val="19"/>
          <w:szCs w:val="19"/>
        </w:rPr>
        <w:t xml:space="preserve">.github/workflows/scan-daily.yml: </w:t>
      </w:r>
      <w:r>
        <w:rPr>
          <w:rFonts w:ascii="Arial" w:cs="Arial" w:eastAsia="Arial" w:hAnsi="Arial"/>
          <w:color w:val="444444"/>
          <w:sz w:val="19"/>
          <w:szCs w:val="19"/>
        </w:rPr>
        <w:t xml:space="preserve">New: daily 6am UTC cron, limit 100, concurrency group kairologic-scan</w:t>
      </w:r>
    </w:p>
    <w:p>
      <w:pPr>
        <w:spacing w:after="80" w:line="276"/>
      </w:pPr>
      <w:r>
        <w:rPr>
          <w:rFonts w:ascii="Arial" w:cs="Arial" w:eastAsia="Arial" w:hAnsi="Arial"/>
          <w:b/>
          <w:bCs/>
          <w:color w:val="0B1E3D"/>
          <w:sz w:val="19"/>
          <w:szCs w:val="19"/>
        </w:rPr>
        <w:t xml:space="preserve">.github/workflows/scan-and-delta.yml: </w:t>
      </w:r>
      <w:r>
        <w:rPr>
          <w:rFonts w:ascii="Arial" w:cs="Arial" w:eastAsia="Arial" w:hAnsi="Arial"/>
          <w:color w:val="444444"/>
          <w:sz w:val="19"/>
          <w:szCs w:val="19"/>
        </w:rPr>
        <w:t xml:space="preserve">Patched: added concurrency group kairologic-scan to prevent overlap</w:t>
      </w:r>
    </w:p>
    <w:p>
      <w:pPr>
        <w:spacing w:after="60"/>
      </w:pPr>
    </w:p>
    <w:p>
      <w:r>
        <w:br w:type="page"/>
      </w:r>
    </w:p>
    <w:p>
      <w:pPr>
        <w:spacing w:before="400" w:after="200"/>
      </w:pPr>
      <w:r>
        <w:rPr>
          <w:rFonts w:ascii="Arial" w:cs="Arial" w:eastAsia="Arial" w:hAnsi="Arial"/>
          <w:b/>
          <w:bCs/>
          <w:color w:val="0B1E3D"/>
          <w:sz w:val="32"/>
          <w:szCs w:val="32"/>
        </w:rPr>
        <w:t xml:space="preserve">31. Roster Onboarding Card (New)</w:t>
      </w:r>
    </w:p>
    <w:p>
      <w:pPr>
        <w:spacing w:after="100" w:line="276"/>
      </w:pPr>
      <w:r>
        <w:rPr>
          <w:rFonts w:ascii="Arial" w:cs="Arial" w:eastAsia="Arial" w:hAnsi="Arial"/>
          <w:color w:val="444444"/>
          <w:sz w:val="19"/>
          <w:szCs w:val="19"/>
        </w:rPr>
        <w:t xml:space="preserve">When the scanner detects providers on a practice website, they are auto-populated as DETECTED/UNVERIFIED associations. However, the practice manager needs to review and confirm these before full monitoring begins. The onboarding card appears at the top of the provider roster with a checklist of detected providers, allowing the manager to confirm or remove each one in a single action.</w:t>
      </w:r>
    </w:p>
    <w:p>
      <w:pPr>
        <w:spacing w:after="60"/>
      </w:pPr>
    </w:p>
    <w:p>
      <w:pPr>
        <w:spacing w:before="220" w:after="100"/>
      </w:pPr>
      <w:r>
        <w:rPr>
          <w:rFonts w:ascii="Arial" w:cs="Arial" w:eastAsia="Arial" w:hAnsi="Arial"/>
          <w:b/>
          <w:bCs/>
          <w:color w:val="D4A017"/>
          <w:sz w:val="24"/>
          <w:szCs w:val="24"/>
        </w:rPr>
        <w:t xml:space="preserve">Card Behavior</w:t>
      </w:r>
    </w:p>
    <w:p>
      <w:pPr>
        <w:spacing w:after="100" w:line="276"/>
      </w:pPr>
      <w:r>
        <w:rPr>
          <w:rFonts w:ascii="Arial" w:cs="Arial" w:eastAsia="Arial" w:hAnsi="Arial"/>
          <w:color w:val="444444"/>
          <w:sz w:val="19"/>
          <w:szCs w:val="19"/>
        </w:rPr>
        <w:t xml:space="preserve">The card displays only for DETECTED-source providers that are not departed. All providers are pre-checked by default (assuming valid). Unchecking a provider marks them “Will be removed” with a red visual treatment. On confirm: checked providers update to association_source CONFIRMED, unchecked providers are marked as departed, and practice_websites.onboarding_confirmed is set to true. The card auto-dismisses and only reappears if new providers are detected on a subsequent scan after confirmation. The gold gradient background (goldPale to white) visually distinguishes it from the roster table.</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components/dashboard/RosterOnboardingCard.tsx: </w:t>
      </w:r>
      <w:r>
        <w:rPr>
          <w:rFonts w:ascii="Arial" w:cs="Arial" w:eastAsia="Arial" w:hAnsi="Arial"/>
          <w:color w:val="444444"/>
          <w:sz w:val="19"/>
          <w:szCs w:val="19"/>
        </w:rPr>
        <w:t xml:space="preserve">New: onboarding card component with checkbox roster, confirm/remove flow, auto-dismiss</w:t>
      </w:r>
    </w:p>
    <w:p>
      <w:pPr>
        <w:spacing w:after="80" w:line="276"/>
      </w:pPr>
      <w:r>
        <w:rPr>
          <w:rFonts w:ascii="Arial" w:cs="Arial" w:eastAsia="Arial" w:hAnsi="Arial"/>
          <w:b/>
          <w:bCs/>
          <w:color w:val="0B1E3D"/>
          <w:sz w:val="19"/>
          <w:szCs w:val="19"/>
        </w:rPr>
        <w:t xml:space="preserve">components/dashboard/DashboardHome.tsx: </w:t>
      </w:r>
      <w:r>
        <w:rPr>
          <w:rFonts w:ascii="Arial" w:cs="Arial" w:eastAsia="Arial" w:hAnsi="Arial"/>
          <w:color w:val="444444"/>
          <w:sz w:val="19"/>
          <w:szCs w:val="19"/>
        </w:rPr>
        <w:t xml:space="preserve">Patched: provider-centric KPIs (needs_attention, in_progress, monitoring, all_clear), onboarding status integration</w:t>
      </w:r>
    </w:p>
    <w:p>
      <w:pPr>
        <w:spacing w:after="60"/>
      </w:pPr>
    </w:p>
    <w:p>
      <w:r>
        <w:br w:type="page"/>
      </w:r>
    </w:p>
    <w:p>
      <w:pPr>
        <w:spacing w:before="400" w:after="200"/>
      </w:pPr>
      <w:r>
        <w:rPr>
          <w:rFonts w:ascii="Arial" w:cs="Arial" w:eastAsia="Arial" w:hAnsi="Arial"/>
          <w:b/>
          <w:bCs/>
          <w:color w:val="0B1E3D"/>
          <w:sz w:val="32"/>
          <w:szCs w:val="32"/>
        </w:rPr>
        <w:t xml:space="preserve">32. Page-Contextual Header (New)</w:t>
      </w:r>
    </w:p>
    <w:p>
      <w:pPr>
        <w:spacing w:after="100" w:line="276"/>
      </w:pPr>
      <w:r>
        <w:rPr>
          <w:rFonts w:ascii="Arial" w:cs="Arial" w:eastAsia="Arial" w:hAnsi="Arial"/>
          <w:color w:val="444444"/>
          <w:sz w:val="19"/>
          <w:szCs w:val="19"/>
        </w:rPr>
        <w:t xml:space="preserve">The original dashboard header displayed the product name (“Provider Intelligence Dashboard”) as the H1 on every page. This wastes prime visual real estate on branding instead of context. Following the pattern used by Stripe, Linear, and other modern SaaS dashboards, the header now shows what you’re looking at — the practice name as H1 with provider count and last sync time as the subtitle. The product name moves to the browser tab title only.</w:t>
      </w:r>
    </w:p>
    <w:p>
      <w:pPr>
        <w:spacing w:after="60"/>
      </w:pPr>
    </w:p>
    <w:p>
      <w:pPr>
        <w:spacing w:before="220" w:after="100"/>
      </w:pPr>
      <w:r>
        <w:rPr>
          <w:rFonts w:ascii="Arial" w:cs="Arial" w:eastAsia="Arial" w:hAnsi="Arial"/>
          <w:b/>
          <w:bCs/>
          <w:color w:val="D4A017"/>
          <w:sz w:val="24"/>
          <w:szCs w:val="24"/>
        </w:rPr>
        <w:t xml:space="preserve">Implementation</w:t>
      </w:r>
    </w:p>
    <w:p>
      <w:pPr>
        <w:spacing w:after="100" w:line="276"/>
      </w:pPr>
      <w:r>
        <w:rPr>
          <w:rFonts w:ascii="Arial" w:cs="Arial" w:eastAsia="Arial" w:hAnsi="Arial"/>
          <w:color w:val="444444"/>
          <w:sz w:val="19"/>
          <w:szCs w:val="19"/>
        </w:rPr>
        <w:t xml:space="preserve">HeaderBar.tsx renders the practice name as the H1 with “N providers · Last sync: Xh ago” as the subtitle. DashboardShell.tsx computes the relative time from the last_scan_at timestamp (just now / Xm ago / Xh ago / X days ago / Xw ago) and sets document.title to “{PageTitle} · Practice Intelligence Dashboard” where PageTitle maps from 16 pathname subpaths (Dashboard, Provider roster, Workflows, Compliance, etc.). The last_scan_at field is fetched via auth-helpers.ts from practice_websites and threaded through the layout.tsx server component into the client shell.</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components/dashboard/HeaderBar.tsx: </w:t>
      </w:r>
      <w:r>
        <w:rPr>
          <w:rFonts w:ascii="Arial" w:cs="Arial" w:eastAsia="Arial" w:hAnsi="Arial"/>
          <w:color w:val="444444"/>
          <w:sz w:val="19"/>
          <w:szCs w:val="19"/>
        </w:rPr>
        <w:t xml:space="preserve">Refactored: practice name as H1, provider count + last sync as subtitle</w:t>
      </w:r>
    </w:p>
    <w:p>
      <w:pPr>
        <w:spacing w:after="80" w:line="276"/>
      </w:pPr>
      <w:r>
        <w:rPr>
          <w:rFonts w:ascii="Arial" w:cs="Arial" w:eastAsia="Arial" w:hAnsi="Arial"/>
          <w:b/>
          <w:bCs/>
          <w:color w:val="0B1E3D"/>
          <w:sz w:val="19"/>
          <w:szCs w:val="19"/>
        </w:rPr>
        <w:t xml:space="preserve">components/dashboard/DashboardShell.tsx: </w:t>
      </w:r>
      <w:r>
        <w:rPr>
          <w:rFonts w:ascii="Arial" w:cs="Arial" w:eastAsia="Arial" w:hAnsi="Arial"/>
          <w:color w:val="444444"/>
          <w:sz w:val="19"/>
          <w:szCs w:val="19"/>
        </w:rPr>
        <w:t xml:space="preserve">Refactored: browser tab title via document.title, dynamic lastSync from lastScanAt prop</w:t>
      </w:r>
    </w:p>
    <w:p>
      <w:pPr>
        <w:spacing w:after="80" w:line="276"/>
      </w:pPr>
      <w:r>
        <w:rPr>
          <w:rFonts w:ascii="Arial" w:cs="Arial" w:eastAsia="Arial" w:hAnsi="Arial"/>
          <w:b/>
          <w:bCs/>
          <w:color w:val="0B1E3D"/>
          <w:sz w:val="19"/>
          <w:szCs w:val="19"/>
        </w:rPr>
        <w:t xml:space="preserve">app/(dashboard)/practice/[id]/layout.tsx: </w:t>
      </w:r>
      <w:r>
        <w:rPr>
          <w:rFonts w:ascii="Arial" w:cs="Arial" w:eastAsia="Arial" w:hAnsi="Arial"/>
          <w:color w:val="444444"/>
          <w:sz w:val="19"/>
          <w:szCs w:val="19"/>
        </w:rPr>
        <w:t xml:space="preserve">Patched: threads last_scan_at from DB through server component into DashboardShell</w:t>
      </w:r>
    </w:p>
    <w:p>
      <w:pPr>
        <w:spacing w:after="80" w:line="276"/>
      </w:pPr>
      <w:r>
        <w:rPr>
          <w:rFonts w:ascii="Arial" w:cs="Arial" w:eastAsia="Arial" w:hAnsi="Arial"/>
          <w:b/>
          <w:bCs/>
          <w:color w:val="0B1E3D"/>
          <w:sz w:val="19"/>
          <w:szCs w:val="19"/>
        </w:rPr>
        <w:t xml:space="preserve">lib/auth/auth-helpers.ts: </w:t>
      </w:r>
      <w:r>
        <w:rPr>
          <w:rFonts w:ascii="Arial" w:cs="Arial" w:eastAsia="Arial" w:hAnsi="Arial"/>
          <w:color w:val="444444"/>
          <w:sz w:val="19"/>
          <w:szCs w:val="19"/>
        </w:rPr>
        <w:t xml:space="preserve">Patched: added last_scan_at to practice_websites select query</w:t>
      </w:r>
    </w:p>
    <w:p>
      <w:pPr>
        <w:spacing w:after="60"/>
      </w:pPr>
    </w:p>
    <w:p>
      <w:r>
        <w:br w:type="page"/>
      </w:r>
    </w:p>
    <w:p>
      <w:pPr>
        <w:spacing w:before="400" w:after="200"/>
      </w:pPr>
      <w:r>
        <w:rPr>
          <w:rFonts w:ascii="Arial" w:cs="Arial" w:eastAsia="Arial" w:hAnsi="Arial"/>
          <w:b/>
          <w:bCs/>
          <w:color w:val="0B1E3D"/>
          <w:sz w:val="32"/>
          <w:szCs w:val="32"/>
        </w:rPr>
        <w:t xml:space="preserve">33. Dashboard Data Alignment (Fix)</w:t>
      </w:r>
    </w:p>
    <w:p>
      <w:pPr>
        <w:spacing w:after="100" w:line="276"/>
      </w:pPr>
      <w:r>
        <w:rPr>
          <w:rFonts w:ascii="Arial" w:cs="Arial" w:eastAsia="Arial" w:hAnsi="Arial"/>
          <w:color w:val="444444"/>
          <w:sz w:val="19"/>
          <w:szCs w:val="19"/>
        </w:rPr>
        <w:t xml:space="preserve">After features 28–32 shipped, an audit revealed four data mismatches between the admin dashboard (which queries authoritative tables directly) and the user-facing practice dashboard (which uses FK-joined queries and cached counts). All four traced to query-layer bugs, not data corruption.</w:t>
      </w:r>
    </w:p>
    <w:p>
      <w:pPr>
        <w:spacing w:after="60"/>
      </w:pPr>
    </w:p>
    <w:p>
      <w:pPr>
        <w:spacing w:before="220" w:after="100"/>
      </w:pPr>
      <w:r>
        <w:rPr>
          <w:rFonts w:ascii="Arial" w:cs="Arial" w:eastAsia="Arial" w:hAnsi="Arial"/>
          <w:b/>
          <w:bCs/>
          <w:color w:val="D4A017"/>
          <w:sz w:val="24"/>
          <w:szCs w:val="24"/>
        </w:rPr>
        <w:t xml:space="preserve">Issues and Fixes</w:t>
      </w:r>
    </w:p>
    <w:p>
      <w:pPr>
        <w:spacing w:after="100" w:line="276"/>
      </w:pPr>
      <w:r>
        <w:rPr>
          <w:rFonts w:ascii="Arial" w:cs="Arial" w:eastAsia="Arial" w:hAnsi="Arial"/>
          <w:color w:val="444444"/>
          <w:sz w:val="19"/>
          <w:szCs w:val="19"/>
        </w:rPr>
        <w:t xml:space="preserve">Issue 1: Provider count showed 6 in the header (from stale practice_websites.provider_count) while the KPI card correctly showed 5 (from the v_dashboard_kpis view which counts active roster only). Fixed by correcting the cached count and ensuring the scan scheduler updates provider_count from matched providers on each run.</w:t>
      </w:r>
    </w:p>
    <w:p>
      <w:pPr>
        <w:spacing w:after="100" w:line="276"/>
      </w:pPr>
      <w:r>
        <w:rPr>
          <w:rFonts w:ascii="Arial" w:cs="Arial" w:eastAsia="Arial" w:hAnsi="Arial"/>
          <w:color w:val="444444"/>
          <w:sz w:val="19"/>
          <w:szCs w:val="19"/>
        </w:rPr>
        <w:t xml:space="preserve">Issue 2: Compliance scores showed “Not scanned” despite four findings existing in the database (SB 1188: 65, HB 149: 15, AI-05: 0, AB 3030: N/A). Root cause: practice_websites.practice_group_id was null, and the dashboard code used an if-guard that skipped the compliance query entirely when the FK was null. Fixed by adding a fallback that uses practiceId directly when practice_group_id is absent.</w:t>
      </w:r>
    </w:p>
    <w:p>
      <w:pPr>
        <w:spacing w:after="100" w:line="276"/>
      </w:pPr>
      <w:r>
        <w:rPr>
          <w:rFonts w:ascii="Arial" w:cs="Arial" w:eastAsia="Arial" w:hAnsi="Arial"/>
          <w:color w:val="444444"/>
          <w:sz w:val="19"/>
          <w:szCs w:val="19"/>
        </w:rPr>
        <w:t xml:space="preserve">Issue 3: The payer sync card on the dashboard home was empty. The query targeted payer_directory_snapshots with a practice_website_id filter, but that table is keyed by NPI + payer_code with no practice FK. Rewired to query payer_directory_mismatches (which does have practice_website_id) for practice-level acceptance gaps.</w:t>
      </w:r>
    </w:p>
    <w:p>
      <w:pPr>
        <w:spacing w:after="100" w:line="276"/>
      </w:pPr>
      <w:r>
        <w:rPr>
          <w:rFonts w:ascii="Arial" w:cs="Arial" w:eastAsia="Arial" w:hAnsi="Arial"/>
          <w:color w:val="444444"/>
          <w:sz w:val="19"/>
          <w:szCs w:val="19"/>
        </w:rPr>
        <w:t xml:space="preserve">Issue 4: The payer directory page showed “Mismatch 0” while the admin showed 5 open acceptance gaps. The mismatch query only searched by provider NPI, but practice-level mismatches use npi=’PRACTICE’. Fixed by expanding the query to include both provider-level and practice-level mismatches.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app/(dashboard)/practice/[id]/page.tsx: </w:t>
      </w:r>
      <w:r>
        <w:rPr>
          <w:rFonts w:ascii="Arial" w:cs="Arial" w:eastAsia="Arial" w:hAnsi="Arial"/>
          <w:color w:val="444444"/>
          <w:sz w:val="19"/>
          <w:szCs w:val="19"/>
        </w:rPr>
        <w:t xml:space="preserve">Fixed: compliance FK fallback, payer sync card rewired to payer_directory_mismatches</w:t>
      </w:r>
    </w:p>
    <w:p>
      <w:pPr>
        <w:spacing w:after="80" w:line="276"/>
      </w:pPr>
      <w:r>
        <w:rPr>
          <w:rFonts w:ascii="Arial" w:cs="Arial" w:eastAsia="Arial" w:hAnsi="Arial"/>
          <w:b/>
          <w:bCs/>
          <w:color w:val="0B1E3D"/>
          <w:sz w:val="19"/>
          <w:szCs w:val="19"/>
        </w:rPr>
        <w:t xml:space="preserve">app/(dashboard)/practice/[id]/payer-directory/page.tsx: </w:t>
      </w:r>
      <w:r>
        <w:rPr>
          <w:rFonts w:ascii="Arial" w:cs="Arial" w:eastAsia="Arial" w:hAnsi="Arial"/>
          <w:color w:val="444444"/>
          <w:sz w:val="19"/>
          <w:szCs w:val="19"/>
        </w:rPr>
        <w:t xml:space="preserve">Fixed: mismatch query expanded to include practice-level (npi=’PRACTICE’) mismatches</w:t>
      </w:r>
    </w:p>
    <w:p>
      <w:pPr>
        <w:spacing w:after="60"/>
      </w:pPr>
    </w:p>
    <w:p>
      <w:r>
        <w:br w:type="page"/>
      </w:r>
    </w:p>
    <w:p>
      <w:pPr>
        <w:spacing w:before="400" w:after="200"/>
      </w:pPr>
      <w:r>
        <w:rPr>
          <w:rFonts w:ascii="Arial" w:cs="Arial" w:eastAsia="Arial" w:hAnsi="Arial"/>
          <w:b/>
          <w:bCs/>
          <w:color w:val="0B1E3D"/>
          <w:sz w:val="32"/>
          <w:szCs w:val="32"/>
        </w:rPr>
        <w:t xml:space="preserve">34. Payer Sync Pipeline Fix (Hardening)</w:t>
      </w:r>
    </w:p>
    <w:p>
      <w:pPr>
        <w:spacing w:after="100" w:line="276"/>
      </w:pPr>
      <w:r>
        <w:rPr>
          <w:rFonts w:ascii="Arial" w:cs="Arial" w:eastAsia="Arial" w:hAnsi="Arial"/>
          <w:color w:val="444444"/>
          <w:sz w:val="19"/>
          <w:szCs w:val="19"/>
        </w:rPr>
        <w:t xml:space="preserve">The Scan+Sync button on the admin dashboard triggered payer sync without passing refresh: true, which meant Phase 2 (FHIR directory lookup) was always skipped. With zero snapshots in the database, every payer showed “Not listed” on the dashboard regardless of actual directory status. Additionally, BCBS TX uses a SCRAPE: endpoint prefix rather than standard FHIR, but the payer sync route was calling FhirDirectoryClient directly, bypassing the PayerDirectoryLookup router that handles scrape-based adapters. A third issue caused the practice’s accepted_payers list (containing “bcbs”) to never match the endpoint table (which used “bcbs_tx”), making acceptance gap detection miss all BCBS variants.</w:t>
      </w:r>
    </w:p>
    <w:p>
      <w:pPr>
        <w:spacing w:after="60"/>
      </w:pPr>
    </w:p>
    <w:p>
      <w:pPr>
        <w:spacing w:before="220" w:after="100"/>
      </w:pPr>
      <w:r>
        <w:rPr>
          <w:rFonts w:ascii="Arial" w:cs="Arial" w:eastAsia="Arial" w:hAnsi="Arial"/>
          <w:b/>
          <w:bCs/>
          <w:color w:val="D4A017"/>
          <w:sz w:val="24"/>
          <w:szCs w:val="24"/>
        </w:rPr>
        <w:t xml:space="preserve">Two-Phase Payer Sync Architecture</w:t>
      </w:r>
    </w:p>
    <w:p>
      <w:pPr>
        <w:spacing w:after="100" w:line="276"/>
      </w:pPr>
      <w:r>
        <w:rPr>
          <w:rFonts w:ascii="Arial" w:cs="Arial" w:eastAsia="Arial" w:hAnsi="Arial"/>
          <w:color w:val="444444"/>
          <w:sz w:val="19"/>
          <w:szCs w:val="19"/>
        </w:rPr>
        <w:t xml:space="preserve">Phase 1 (always): reads existing payer_directory_snapshots from the database and runs the mismatch engine against NPPES data. Phase 2 (only with refresh: true): re-fetches FHIR directories and scrapes payer websites for fresh snapshots. The fix ensures the Scan+Sync button now passes refresh: true so Phase 2 always executes when the admin triggers a manual sync. Phase 2 routes SCRAPE: endpoints through PayerDirectoryLookup (which delegates to BcbsTxProviderFinder for BCBS TX) and standard endpoints through FhirDirectoryClient.</w:t>
      </w:r>
    </w:p>
    <w:p>
      <w:pPr>
        <w:spacing w:after="60"/>
      </w:pPr>
    </w:p>
    <w:p>
      <w:pPr>
        <w:spacing w:before="220" w:after="100"/>
      </w:pPr>
      <w:r>
        <w:rPr>
          <w:rFonts w:ascii="Arial" w:cs="Arial" w:eastAsia="Arial" w:hAnsi="Arial"/>
          <w:b/>
          <w:bCs/>
          <w:color w:val="D4A017"/>
          <w:sz w:val="24"/>
          <w:szCs w:val="24"/>
        </w:rPr>
        <w:t xml:space="preserve">PAYER_ALIASES and Bidirectional Canonical Mapping</w:t>
      </w:r>
    </w:p>
    <w:p>
      <w:pPr>
        <w:spacing w:after="100" w:line="276"/>
      </w:pPr>
      <w:r>
        <w:rPr>
          <w:rFonts w:ascii="Arial" w:cs="Arial" w:eastAsia="Arial" w:hAnsi="Arial"/>
          <w:color w:val="444444"/>
          <w:sz w:val="19"/>
          <w:szCs w:val="19"/>
        </w:rPr>
        <w:t xml:space="preserve">PAYER_ALIASES maps canonical payer codes to state-specific endpoint codes: bcbs → [bcbs_tx, bcbs_ca, bcbs_il, bcbs_fl, bcbs_ga]. The sync route builds an expandedAcceptedPayers set that includes both canonical names (from the practice’s accepted_payers list) and all state variants. A reverse endpointToCanonical map converts endpoint codes back to canonical names for status tracking. Acceptance gap detection now uses expandedAcceptedPayers.has() instead of acceptedPayers.includes(), ensuring BCBS TX snapshots are correctly matched against a practice claiming “bcbs” as an accepted payer.</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app/api/admin/practice-scan/route.ts: </w:t>
      </w:r>
      <w:r>
        <w:rPr>
          <w:rFonts w:ascii="Arial" w:cs="Arial" w:eastAsia="Arial" w:hAnsi="Arial"/>
          <w:color w:val="444444"/>
          <w:sz w:val="19"/>
          <w:szCs w:val="19"/>
        </w:rPr>
        <w:t xml:space="preserve">Patched: passes refresh: true to payer sync call, supports action “both” for combined scan + sync</w:t>
      </w:r>
    </w:p>
    <w:p>
      <w:pPr>
        <w:spacing w:after="80" w:line="276"/>
      </w:pPr>
      <w:r>
        <w:rPr>
          <w:rFonts w:ascii="Arial" w:cs="Arial" w:eastAsia="Arial" w:hAnsi="Arial"/>
          <w:b/>
          <w:bCs/>
          <w:color w:val="0B1E3D"/>
          <w:sz w:val="19"/>
          <w:szCs w:val="19"/>
        </w:rPr>
        <w:t xml:space="preserve">app/api/admin/practice-payer-sync/route.ts: </w:t>
      </w:r>
      <w:r>
        <w:rPr>
          <w:rFonts w:ascii="Arial" w:cs="Arial" w:eastAsia="Arial" w:hAnsi="Arial"/>
          <w:color w:val="444444"/>
          <w:sz w:val="19"/>
          <w:szCs w:val="19"/>
        </w:rPr>
        <w:t xml:space="preserve">Core: PAYER_ALIASES mapping, expandedAcceptedPayers set, endpointToCanonical reverse map, PayerDirectoryLookup for SCRAPE: routing, correction packet tracking</w:t>
      </w:r>
    </w:p>
    <w:p>
      <w:pPr>
        <w:spacing w:after="80" w:line="276"/>
      </w:pPr>
      <w:r>
        <w:rPr>
          <w:rFonts w:ascii="Arial" w:cs="Arial" w:eastAsia="Arial" w:hAnsi="Arial"/>
          <w:b/>
          <w:bCs/>
          <w:color w:val="0B1E3D"/>
          <w:sz w:val="19"/>
          <w:szCs w:val="19"/>
        </w:rPr>
        <w:t xml:space="preserve">lib/payer-directory/payer-lookup.ts: </w:t>
      </w:r>
      <w:r>
        <w:rPr>
          <w:rFonts w:ascii="Arial" w:cs="Arial" w:eastAsia="Arial" w:hAnsi="Arial"/>
          <w:color w:val="444444"/>
          <w:sz w:val="19"/>
          <w:szCs w:val="19"/>
        </w:rPr>
        <w:t xml:space="preserve">Unified routing: lookup() routes SCRAPE: to BcbsTxProviderFinder, standard to FhirDirectoryClient. lookupAllPayers() runs FHIR in parallel, scrape sequentially</w:t>
      </w:r>
    </w:p>
    <w:p>
      <w:pPr>
        <w:spacing w:after="80" w:line="276"/>
      </w:pPr>
      <w:r>
        <w:rPr>
          <w:rFonts w:ascii="Arial" w:cs="Arial" w:eastAsia="Arial" w:hAnsi="Arial"/>
          <w:b/>
          <w:bCs/>
          <w:color w:val="0B1E3D"/>
          <w:sz w:val="19"/>
          <w:szCs w:val="19"/>
        </w:rPr>
        <w:t xml:space="preserve">lib/scanner/trigger-workflows.ts: </w:t>
      </w:r>
      <w:r>
        <w:rPr>
          <w:rFonts w:ascii="Arial" w:cs="Arial" w:eastAsia="Arial" w:hAnsi="Arial"/>
          <w:color w:val="444444"/>
          <w:sz w:val="19"/>
          <w:szCs w:val="19"/>
        </w:rPr>
        <w:t xml:space="preserve">Patched: added payer_code to PayerMismatchInput interface and DB fallback mapping in triggerPayerDirectoryWorkflows</w:t>
      </w:r>
    </w:p>
    <w:p>
      <w:pPr>
        <w:spacing w:after="80" w:line="276"/>
      </w:pPr>
      <w:r>
        <w:rPr>
          <w:rFonts w:ascii="Arial" w:cs="Arial" w:eastAsia="Arial" w:hAnsi="Arial"/>
          <w:b/>
          <w:bCs/>
          <w:color w:val="0B1E3D"/>
          <w:sz w:val="19"/>
          <w:szCs w:val="19"/>
        </w:rPr>
        <w:t xml:space="preserve">app/(dashboard)/practice/[id]/page.tsx: </w:t>
      </w:r>
      <w:r>
        <w:rPr>
          <w:rFonts w:ascii="Arial" w:cs="Arial" w:eastAsia="Arial" w:hAnsi="Arial"/>
          <w:color w:val="444444"/>
          <w:sz w:val="19"/>
          <w:szCs w:val="19"/>
        </w:rPr>
        <w:t xml:space="preserve">Patched: replaced hardcoded static payer array with real DB query against payer_directory_mismatches for PRACTICE-level acceptance gaps</w:t>
      </w:r>
    </w:p>
    <w:p>
      <w:r>
        <w:br w:type="page"/>
      </w:r>
    </w:p>
    <w:p>
      <w:pPr>
        <w:spacing w:before="400" w:after="200"/>
      </w:pPr>
      <w:r>
        <w:rPr>
          <w:rFonts w:ascii="Arial" w:cs="Arial" w:eastAsia="Arial" w:hAnsi="Arial"/>
          <w:b/>
          <w:bCs/>
          <w:color w:val="0B1E3D"/>
          <w:sz w:val="32"/>
          <w:szCs w:val="32"/>
        </w:rPr>
        <w:t xml:space="preserve">35. Delta Engine Scan Pipeline Wiring (Hardening)</w:t>
      </w:r>
    </w:p>
    <w:p>
      <w:pPr>
        <w:spacing w:after="100" w:line="276"/>
      </w:pPr>
      <w:r>
        <w:rPr>
          <w:rFonts w:ascii="Arial" w:cs="Arial" w:eastAsia="Arial" w:hAnsi="Arial"/>
          <w:color w:val="444444"/>
          <w:sz w:val="19"/>
          <w:szCs w:val="19"/>
        </w:rPr>
        <w:t xml:space="preserve">The delta engine (lib/scanner/delta-engine.ts) existed as a standalone module with full three-source comparison logic, but scan-scheduler.ts never imported or called it. Every scan cycle completed without running delta detection, meaning no address, phone, taxonomy, or license deltas were ever created from live scans. This wiring connects the delta engine as step 5c in the scan pipeline, immediately after web data extraction and provider matching.</w:t>
      </w:r>
    </w:p>
    <w:p>
      <w:pPr>
        <w:spacing w:after="60"/>
      </w:pPr>
    </w:p>
    <w:p>
      <w:pPr>
        <w:spacing w:before="220" w:after="100"/>
      </w:pPr>
      <w:r>
        <w:rPr>
          <w:rFonts w:ascii="Arial" w:cs="Arial" w:eastAsia="Arial" w:hAnsi="Arial"/>
          <w:b/>
          <w:bCs/>
          <w:color w:val="D4A017"/>
          <w:sz w:val="24"/>
          <w:szCs w:val="24"/>
        </w:rPr>
        <w:t xml:space="preserve">Three-Source Data Assembly</w:t>
      </w:r>
    </w:p>
    <w:p>
      <w:pPr>
        <w:spacing w:after="100" w:line="276"/>
      </w:pPr>
      <w:r>
        <w:rPr>
          <w:rFonts w:ascii="Arial" w:cs="Arial" w:eastAsia="Arial" w:hAnsi="Arial"/>
          <w:color w:val="444444"/>
          <w:sz w:val="19"/>
          <w:szCs w:val="19"/>
        </w:rPr>
        <w:t xml:space="preserve">For each active provider at a practice, the delta engine assembles data from three independent sources. Source 1 (web scan): web_address, web_phone, web_specialty from practice_providers. Source 2 (state board): board address, specialty, license status, and source from provider_licenses. Source 3 (NPPES): address, phone, primary_taxonomy_code from the providers table. The engine then runs field-by-field comparisons with normalization (street abbreviation expansion, 10-digit phone extraction) and flags mismatches as delta events.</w:t>
      </w:r>
    </w:p>
    <w:p>
      <w:pPr>
        <w:spacing w:after="60"/>
      </w:pPr>
    </w:p>
    <w:p>
      <w:pPr>
        <w:spacing w:before="220" w:after="100"/>
      </w:pPr>
      <w:r>
        <w:rPr>
          <w:rFonts w:ascii="Arial" w:cs="Arial" w:eastAsia="Arial" w:hAnsi="Arial"/>
          <w:b/>
          <w:bCs/>
          <w:color w:val="D4A017"/>
          <w:sz w:val="24"/>
          <w:szCs w:val="24"/>
        </w:rPr>
        <w:t xml:space="preserve">Confidence Scoring and Corroboration</w:t>
      </w:r>
    </w:p>
    <w:p>
      <w:pPr>
        <w:spacing w:after="100" w:line="276"/>
      </w:pPr>
      <w:r>
        <w:rPr>
          <w:rFonts w:ascii="Arial" w:cs="Arial" w:eastAsia="Arial" w:hAnsi="Arial"/>
          <w:color w:val="444444"/>
          <w:sz w:val="19"/>
          <w:szCs w:val="19"/>
        </w:rPr>
        <w:t xml:space="preserve">Each delta event carries a confidence level (HIGH, MEDIUM, LOW) and a numeric confidence_score. Two-source corroboration (e.g. web scan and state board both show the same new address) elevates confidence to HIGH (0.95). Single-source detections are MEDIUM (0.75–0.85). License status changes from the state board (revoked, suspended, cancelled, deceased) are always HIGH (0.98). Each event records corroborated_by as an array of source names and corroboration_count. After detection, stampDeltaEventVerification() sets verification_status and gate_status_at_creation. The engine then bulk-updates practice_providers mismatch flags (has_address_mismatch, has_phone_mismatch, has_taxonomy_mismatch) and active_mismatch_count.</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lib/scanner/scan-scheduler.ts: </w:t>
      </w:r>
      <w:r>
        <w:rPr>
          <w:rFonts w:ascii="Arial" w:cs="Arial" w:eastAsia="Arial" w:hAnsi="Arial"/>
          <w:color w:val="444444"/>
          <w:sz w:val="19"/>
          <w:szCs w:val="19"/>
        </w:rPr>
        <w:t xml:space="preserve">Patched: imports runDeltaDetection, calls it as step 5c after web data extraction, populates delta_count in ScanResult</w:t>
      </w:r>
    </w:p>
    <w:p>
      <w:pPr>
        <w:spacing w:after="80" w:line="276"/>
      </w:pPr>
      <w:r>
        <w:rPr>
          <w:rFonts w:ascii="Arial" w:cs="Arial" w:eastAsia="Arial" w:hAnsi="Arial"/>
          <w:b/>
          <w:bCs/>
          <w:color w:val="0B1E3D"/>
          <w:sz w:val="19"/>
          <w:szCs w:val="19"/>
        </w:rPr>
        <w:t xml:space="preserve">lib/scanner/delta-engine.ts: </w:t>
      </w:r>
      <w:r>
        <w:rPr>
          <w:rFonts w:ascii="Arial" w:cs="Arial" w:eastAsia="Arial" w:hAnsi="Arial"/>
          <w:color w:val="444444"/>
          <w:sz w:val="19"/>
          <w:szCs w:val="19"/>
        </w:rPr>
        <w:t xml:space="preserve">Core: runDeltaDetection() with assembleProviderData(), detectDeltas() for address/phone/taxonomy/license, normalizeAddr(), normalizePhone(), batch upsert with stampDeltaEventVerification()</w:t>
      </w:r>
    </w:p>
    <w:p>
      <w:pPr>
        <w:spacing w:after="80" w:line="276"/>
      </w:pPr>
      <w:r>
        <w:rPr>
          <w:rFonts w:ascii="Arial" w:cs="Arial" w:eastAsia="Arial" w:hAnsi="Arial"/>
          <w:b/>
          <w:bCs/>
          <w:color w:val="0B1E3D"/>
          <w:sz w:val="19"/>
          <w:szCs w:val="19"/>
        </w:rPr>
        <w:t xml:space="preserve">lib/scanner/taxonomy-normalizer.ts: </w:t>
      </w:r>
      <w:r>
        <w:rPr>
          <w:rFonts w:ascii="Arial" w:cs="Arial" w:eastAsia="Arial" w:hAnsi="Arial"/>
          <w:color w:val="444444"/>
          <w:sz w:val="19"/>
          <w:szCs w:val="19"/>
        </w:rPr>
        <w:t xml:space="preserve">Specialty comparison: maps freeform website text to NUCC taxonomy codes via alias table, supports multi-source corroboration (web, NPPES, board, payer)</w:t>
      </w:r>
    </w:p>
    <w:p>
      <w:r>
        <w:br w:type="page"/>
      </w:r>
    </w:p>
    <w:p>
      <w:pPr>
        <w:spacing w:before="400" w:after="200"/>
      </w:pPr>
      <w:r>
        <w:rPr>
          <w:rFonts w:ascii="Arial" w:cs="Arial" w:eastAsia="Arial" w:hAnsi="Arial"/>
          <w:b/>
          <w:bCs/>
          <w:color w:val="0B1E3D"/>
          <w:sz w:val="32"/>
          <w:szCs w:val="32"/>
        </w:rPr>
        <w:t xml:space="preserve">36. Workflow Trigger Pipeline Wiring (Hardening)</w:t>
      </w:r>
    </w:p>
    <w:p>
      <w:pPr>
        <w:spacing w:after="100" w:line="276"/>
      </w:pPr>
      <w:r>
        <w:rPr>
          <w:rFonts w:ascii="Arial" w:cs="Arial" w:eastAsia="Arial" w:hAnsi="Arial"/>
          <w:color w:val="444444"/>
          <w:sz w:val="19"/>
          <w:szCs w:val="19"/>
        </w:rPr>
        <w:t xml:space="preserve">Four workflow trigger functions existed in trigger-workflows.ts but were not all wired into the scan pipeline. The scan scheduler now imports and calls all four triggers at the appropriate points after delta detection, compliance scanning, and payer sync. Each trigger follows a DB-fallback pattern: it accepts optional pre-fetched data and queries the database if not provided, ensuring workflows are created whether triggered from a full scan or a standalone sync.</w:t>
      </w:r>
    </w:p>
    <w:p>
      <w:pPr>
        <w:spacing w:after="60"/>
      </w:pPr>
    </w:p>
    <w:p>
      <w:pPr>
        <w:spacing w:before="220" w:after="100"/>
      </w:pPr>
      <w:r>
        <w:rPr>
          <w:rFonts w:ascii="Arial" w:cs="Arial" w:eastAsia="Arial" w:hAnsi="Arial"/>
          <w:b/>
          <w:bCs/>
          <w:color w:val="D4A017"/>
          <w:sz w:val="24"/>
          <w:szCs w:val="24"/>
        </w:rPr>
        <w:t xml:space="preserve">Trigger Functions</w:t>
      </w:r>
    </w:p>
    <w:p>
      <w:pPr>
        <w:spacing w:after="100" w:line="276"/>
      </w:pPr>
      <w:r>
        <w:rPr>
          <w:rFonts w:ascii="Arial" w:cs="Arial" w:eastAsia="Arial" w:hAnsi="Arial"/>
          <w:color w:val="444444"/>
          <w:sz w:val="19"/>
          <w:szCs w:val="19"/>
        </w:rPr>
        <w:t xml:space="preserve">triggerWorkflowsForPractice(): creates nppes_update workflows for providers with active mismatch flags, inserts 4-step task chains (review_finding → download_form → submit_nppes → monitor_sync), creates alerts and workflow events. triggerPayerDirectoryWorkflows(): groups mismatches by provider NPI, creates one workflow per provider with all affected payers in findings, supports optional pre-fetched mismatches with DB fallback query. triggerDepartureWorkflow(): creates release workflows for providers absent 14+ days, inserts 5-step task chain for phantom listing removal. triggerComplianceWorkflows(): creates compliance workflows for failing checks. triggerLicenseRenewalWorkflows(): creates license renewal workflows from state board delta events with expiring license signals.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lib/scanner/trigger-workflows.ts: </w:t>
      </w:r>
      <w:r>
        <w:rPr>
          <w:rFonts w:ascii="Arial" w:cs="Arial" w:eastAsia="Arial" w:hAnsi="Arial"/>
          <w:color w:val="444444"/>
          <w:sz w:val="19"/>
          <w:szCs w:val="19"/>
        </w:rPr>
        <w:t xml:space="preserve">Core: four exported async functions, PayerMismatchInput interface with payer_code, task template constants (NPPES_UPDATE_TASKS, PAYER_DIRECTORY_TASKS, RELEASE_TASKS), DB fallback pattern</w:t>
      </w:r>
    </w:p>
    <w:p>
      <w:pPr>
        <w:spacing w:after="80" w:line="276"/>
      </w:pPr>
      <w:r>
        <w:rPr>
          <w:rFonts w:ascii="Arial" w:cs="Arial" w:eastAsia="Arial" w:hAnsi="Arial"/>
          <w:b/>
          <w:bCs/>
          <w:color w:val="0B1E3D"/>
          <w:sz w:val="19"/>
          <w:szCs w:val="19"/>
        </w:rPr>
        <w:t xml:space="preserve">lib/scanner/scan-scheduler.ts: </w:t>
      </w:r>
      <w:r>
        <w:rPr>
          <w:rFonts w:ascii="Arial" w:cs="Arial" w:eastAsia="Arial" w:hAnsi="Arial"/>
          <w:color w:val="444444"/>
          <w:sz w:val="19"/>
          <w:szCs w:val="19"/>
        </w:rPr>
        <w:t xml:space="preserve">Patched: imports and calls all five trigger functions at appropriate pipeline steps (after deltas, compliance, payer sync, departure detection)</w:t>
      </w:r>
    </w:p>
    <w:p>
      <w:r>
        <w:br w:type="page"/>
      </w:r>
    </w:p>
    <w:p>
      <w:pPr>
        <w:spacing w:before="400" w:after="200"/>
      </w:pPr>
      <w:r>
        <w:rPr>
          <w:rFonts w:ascii="Arial" w:cs="Arial" w:eastAsia="Arial" w:hAnsi="Arial"/>
          <w:b/>
          <w:bCs/>
          <w:color w:val="0B1E3D"/>
          <w:sz w:val="32"/>
          <w:szCs w:val="32"/>
        </w:rPr>
        <w:t xml:space="preserve">37. Deep QA Test Suite (New)</w:t>
      </w:r>
    </w:p>
    <w:p>
      <w:pPr>
        <w:spacing w:after="100" w:line="276"/>
      </w:pPr>
      <w:r>
        <w:rPr>
          <w:rFonts w:ascii="Arial" w:cs="Arial" w:eastAsia="Arial" w:hAnsi="Arial"/>
          <w:color w:val="444444"/>
          <w:sz w:val="19"/>
          <w:szCs w:val="19"/>
        </w:rPr>
        <w:t xml:space="preserve">A Playwright-based end-to-end test suite covering authentication flows, navigation, form interactions, and smoke tests against the running application. The suite runs headless Chromium and mobile (Pixel 5) viewports with parallel workers. Tests verify critical user journeys including login, dashboard navigation, and data display correctness.</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tests/playwright.config.ts: </w:t>
      </w:r>
      <w:r>
        <w:rPr>
          <w:rFonts w:ascii="Arial" w:cs="Arial" w:eastAsia="Arial" w:hAnsi="Arial"/>
          <w:color w:val="444444"/>
          <w:sz w:val="19"/>
          <w:szCs w:val="19"/>
        </w:rPr>
        <w:t xml:space="preserve">Config: smoke/desktop/mobile projects, auto-start webServer, HTML + JSON + list reporters, artifact capture on failure</w:t>
      </w:r>
    </w:p>
    <w:p>
      <w:pPr>
        <w:spacing w:after="80" w:line="276"/>
      </w:pPr>
      <w:r>
        <w:rPr>
          <w:rFonts w:ascii="Arial" w:cs="Arial" w:eastAsia="Arial" w:hAnsi="Arial"/>
          <w:b/>
          <w:bCs/>
          <w:color w:val="0B1E3D"/>
          <w:sz w:val="19"/>
          <w:szCs w:val="19"/>
        </w:rPr>
        <w:t xml:space="preserve">tests/e2e/smoke.spec.ts, auth.spec.ts, navigation.spec.ts, forms.spec.ts: </w:t>
      </w:r>
      <w:r>
        <w:rPr>
          <w:rFonts w:ascii="Arial" w:cs="Arial" w:eastAsia="Arial" w:hAnsi="Arial"/>
          <w:color w:val="444444"/>
          <w:sz w:val="19"/>
          <w:szCs w:val="19"/>
        </w:rPr>
        <w:t xml:space="preserve">E2E test files: smoke health checks, authentication flows, dashboard navigation, form interaction tests</w:t>
      </w:r>
    </w:p>
    <w:p>
      <w:r>
        <w:br w:type="page"/>
      </w:r>
    </w:p>
    <w:p>
      <w:pPr>
        <w:spacing w:before="400" w:after="200"/>
      </w:pPr>
      <w:r>
        <w:rPr>
          <w:rFonts w:ascii="Arial" w:cs="Arial" w:eastAsia="Arial" w:hAnsi="Arial"/>
          <w:b/>
          <w:bCs/>
          <w:color w:val="0B1E3D"/>
          <w:sz w:val="32"/>
          <w:szCs w:val="32"/>
        </w:rPr>
        <w:t xml:space="preserve">38. Sentinel Regression Test Infrastructure (New)</w:t>
      </w:r>
    </w:p>
    <w:p>
      <w:pPr>
        <w:spacing w:after="100" w:line="276"/>
      </w:pPr>
      <w:r>
        <w:rPr>
          <w:rFonts w:ascii="Arial" w:cs="Arial" w:eastAsia="Arial" w:hAnsi="Arial"/>
          <w:color w:val="444444"/>
          <w:sz w:val="19"/>
          <w:szCs w:val="19"/>
        </w:rPr>
        <w:t xml:space="preserve">As the platform approaches production, every commit must build on existing code without regressing functionality. This infrastructure provides two complementary regression prevention layers: (1) static pipeline wiring smoke tests that read source code and assert that critical imports, function calls, and configuration exist — catching the “function exists but is never called” class of bugs with zero database dependency, and (2) seeded integration tests that verify a sentinel test practice’s data integrity against the live database, catching schema drift, migration failures, and seed data corruption.</w:t>
      </w:r>
    </w:p>
    <w:p>
      <w:pPr>
        <w:spacing w:after="60"/>
      </w:pPr>
    </w:p>
    <w:p>
      <w:pPr>
        <w:spacing w:before="220" w:after="100"/>
      </w:pPr>
      <w:r>
        <w:rPr>
          <w:rFonts w:ascii="Arial" w:cs="Arial" w:eastAsia="Arial" w:hAnsi="Arial"/>
          <w:b/>
          <w:bCs/>
          <w:color w:val="D4A017"/>
          <w:sz w:val="24"/>
          <w:szCs w:val="24"/>
        </w:rPr>
        <w:t xml:space="preserve">Sentinel Test Practice</w:t>
      </w:r>
    </w:p>
    <w:p>
      <w:pPr>
        <w:spacing w:after="100" w:line="276"/>
      </w:pPr>
      <w:r>
        <w:rPr>
          <w:rFonts w:ascii="Arial" w:cs="Arial" w:eastAsia="Arial" w:hAnsi="Arial"/>
          <w:color w:val="444444"/>
          <w:sz w:val="19"/>
          <w:szCs w:val="19"/>
        </w:rPr>
        <w:t xml:space="preserve">A synthetic test practice (ID: e2e00000-0000-0000-0000-000000000001) is seeded with comprehensive data covering every pipeline path. Four sentinel providers with reserved NPIs (9990000001–9990000004): Alice (address + phone mismatch, active), Bob (taxonomy mismatch, active), Carol (license issue, active), Dave (departed). Three delta events covering address_change, phone_change, and taxonomy_change signals, all with verified status. Six workflow instances spanning all five workflow types (nppes_update, payer_directory, license_renewal, compliance, onboarding) with 11 task records in ordered chains. Three payer directory mismatches including an acceptance_gap at the practice level. Four payer directory snapshots mixing listed and not-listed states. Three alerts with mixed severity (action, warning, info) and active/inactive states. The seed SQL is idempotent — it deletes then re-inserts, and uses ON CONFLICT where composite unique indexes exist.</w:t>
      </w:r>
    </w:p>
    <w:p>
      <w:pPr>
        <w:spacing w:after="60"/>
      </w:pPr>
    </w:p>
    <w:p>
      <w:pPr>
        <w:spacing w:before="220" w:after="100"/>
      </w:pPr>
      <w:r>
        <w:rPr>
          <w:rFonts w:ascii="Arial" w:cs="Arial" w:eastAsia="Arial" w:hAnsi="Arial"/>
          <w:b/>
          <w:bCs/>
          <w:color w:val="D4A017"/>
          <w:sz w:val="24"/>
          <w:szCs w:val="24"/>
        </w:rPr>
        <w:t xml:space="preserve">Pipeline Wiring Smoke Tests (19 Assertions)</w:t>
      </w:r>
    </w:p>
    <w:p>
      <w:pPr>
        <w:spacing w:after="100" w:line="276"/>
      </w:pPr>
      <w:r>
        <w:rPr>
          <w:rFonts w:ascii="Arial" w:cs="Arial" w:eastAsia="Arial" w:hAnsi="Arial"/>
          <w:color w:val="444444"/>
          <w:sz w:val="19"/>
          <w:szCs w:val="19"/>
        </w:rPr>
        <w:t xml:space="preserve">Pure Node.js tests that read actual source files with fs.readFileSync and assert regex patterns. Coverage: scan-scheduler imports runDeltaDetection and calls it with site.id, delta_count is populated from result (not hardcoded to 0), all five workflow triggers are imported. practice-scan route passes refresh: true and supports action “both”. practice-payer-sync imports PayerDirectoryLookup, routes SCRAPE: endpoints, has PAYER_ALIASES with bcbs variants, uses expandedAcceptedPayers. Dashboard queries payer_directory_mismatches (not hardcoded) and filters for PRACTICE-level. trigger-workflows exports triggerLicenseRenewalWorkflows, has payer_code in the interface, accepts optional mismatches. delta-engine exports runDeltaDetection, assembles web_specialty + nppes_taxonomy for multi-source comparison, sets has_taxonomy_mismatch, uses stampDeltaEventVerification.</w:t>
      </w:r>
    </w:p>
    <w:p>
      <w:pPr>
        <w:spacing w:after="60"/>
      </w:pPr>
    </w:p>
    <w:p>
      <w:pPr>
        <w:spacing w:before="220" w:after="100"/>
      </w:pPr>
      <w:r>
        <w:rPr>
          <w:rFonts w:ascii="Arial" w:cs="Arial" w:eastAsia="Arial" w:hAnsi="Arial"/>
          <w:b/>
          <w:bCs/>
          <w:color w:val="D4A017"/>
          <w:sz w:val="24"/>
          <w:szCs w:val="24"/>
        </w:rPr>
        <w:t xml:space="preserve">Baseline Assertion Tests (11 Assertions)</w:t>
      </w:r>
    </w:p>
    <w:p>
      <w:pPr>
        <w:spacing w:after="100" w:line="276"/>
      </w:pPr>
      <w:r>
        <w:rPr>
          <w:rFonts w:ascii="Arial" w:cs="Arial" w:eastAsia="Arial" w:hAnsi="Arial"/>
          <w:color w:val="444444"/>
          <w:sz w:val="19"/>
          <w:szCs w:val="19"/>
        </w:rPr>
        <w:t xml:space="preserve">Database-level tests querying the Supabase REST API for sentinel practice data integrity. Verifies: core practice data (name, state, accepted_payers, scan_tier, onboarding_confirmed), provider roster (4 providers with correct mismatch flags and roster statuses), 3 delta events with address/phone/taxonomy signal types all verified, workflow coverage across all 5 types with task chains, payer mismatches including acceptance_gap, payer snapshots with mixed listed/not-listed, alerts with mixed severity and active/inactive states. Schema integrity gates verify critical columns exist on practice_providers (all mismatch flag columns, web_specialty), payer_directory_mismatches (signal_type, acceptance_source), practice_websites (onboarding_confirmed), and nppes_delta_events (verification_status, gate_status_at_creation).</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tests/fixtures/seed-sentinel.sql: </w:t>
      </w:r>
      <w:r>
        <w:rPr>
          <w:rFonts w:ascii="Arial" w:cs="Arial" w:eastAsia="Arial" w:hAnsi="Arial"/>
          <w:color w:val="444444"/>
          <w:sz w:val="19"/>
          <w:szCs w:val="19"/>
        </w:rPr>
        <w:t xml:space="preserve">Seed: idempotent sentinel practice with 4 providers, 3 deltas, 6 workflows, 11 tasks, 3 mismatches, 4 snapshots, 3 alerts. Schema-validated against actual DB column names and constraints</w:t>
      </w:r>
    </w:p>
    <w:p>
      <w:pPr>
        <w:spacing w:after="80" w:line="276"/>
      </w:pPr>
      <w:r>
        <w:rPr>
          <w:rFonts w:ascii="Arial" w:cs="Arial" w:eastAsia="Arial" w:hAnsi="Arial"/>
          <w:b/>
          <w:bCs/>
          <w:color w:val="0B1E3D"/>
          <w:sz w:val="19"/>
          <w:szCs w:val="19"/>
        </w:rPr>
        <w:t xml:space="preserve">tests/regression/pipeline-wiring.test.ts: </w:t>
      </w:r>
      <w:r>
        <w:rPr>
          <w:rFonts w:ascii="Arial" w:cs="Arial" w:eastAsia="Arial" w:hAnsi="Arial"/>
          <w:color w:val="444444"/>
          <w:sz w:val="19"/>
          <w:szCs w:val="19"/>
        </w:rPr>
        <w:t xml:space="preserve">Smoke tests: 19 assertions verifying import/call patterns in scan-scheduler, practice-scan, practice-payer-sync, dashboard page, trigger-workflows, delta-engine</w:t>
      </w:r>
    </w:p>
    <w:p>
      <w:pPr>
        <w:spacing w:after="80" w:line="276"/>
      </w:pPr>
      <w:r>
        <w:rPr>
          <w:rFonts w:ascii="Arial" w:cs="Arial" w:eastAsia="Arial" w:hAnsi="Arial"/>
          <w:b/>
          <w:bCs/>
          <w:color w:val="0B1E3D"/>
          <w:sz w:val="19"/>
          <w:szCs w:val="19"/>
        </w:rPr>
        <w:t xml:space="preserve">tests/regression/baseline-assertions.test.ts: </w:t>
      </w:r>
      <w:r>
        <w:rPr>
          <w:rFonts w:ascii="Arial" w:cs="Arial" w:eastAsia="Arial" w:hAnsi="Arial"/>
          <w:color w:val="444444"/>
          <w:sz w:val="19"/>
          <w:szCs w:val="19"/>
        </w:rPr>
        <w:t xml:space="preserve">DB tests: 11 assertions querying Supabase REST API for sentinel data integrity, provider flags, delta coverage, workflow types, payer sync state, alert diversity, schema column gates</w:t>
      </w:r>
    </w:p>
    <w:p>
      <w:pPr>
        <w:spacing w:after="80" w:line="276"/>
      </w:pPr>
      <w:r>
        <w:rPr>
          <w:rFonts w:ascii="Arial" w:cs="Arial" w:eastAsia="Arial" w:hAnsi="Arial"/>
          <w:b/>
          <w:bCs/>
          <w:color w:val="0B1E3D"/>
          <w:sz w:val="19"/>
          <w:szCs w:val="19"/>
        </w:rPr>
        <w:t xml:space="preserve">tests/regression/playwright.config.ts: </w:t>
      </w:r>
      <w:r>
        <w:rPr>
          <w:rFonts w:ascii="Arial" w:cs="Arial" w:eastAsia="Arial" w:hAnsi="Arial"/>
          <w:color w:val="444444"/>
          <w:sz w:val="19"/>
          <w:szCs w:val="19"/>
        </w:rPr>
        <w:t xml:space="preserve">Lightweight Playwright config for regression tests: no browser, no webServer, pure Node.js execution</w:t>
      </w:r>
    </w:p>
    <w:p>
      <w:r>
        <w:br w:type="page"/>
      </w:r>
    </w:p>
    <w:p>
      <w:pPr>
        <w:spacing w:before="400" w:after="200"/>
      </w:pPr>
      <w:r>
        <w:rPr>
          <w:rFonts w:ascii="Arial" w:cs="Arial" w:eastAsia="Arial" w:hAnsi="Arial"/>
          <w:b/>
          <w:bCs/>
          <w:color w:val="0B1E3D"/>
          <w:sz w:val="32"/>
          <w:szCs w:val="32"/>
        </w:rPr>
        <w:t xml:space="preserve">39. AI Evaluator Merge Gate (New)</w:t>
      </w:r>
    </w:p>
    <w:p>
      <w:pPr>
        <w:spacing w:after="100" w:line="276"/>
      </w:pPr>
      <w:r>
        <w:rPr>
          <w:rFonts w:ascii="Arial" w:cs="Arial" w:eastAsia="Arial" w:hAnsi="Arial"/>
          <w:color w:val="444444"/>
          <w:sz w:val="19"/>
          <w:szCs w:val="19"/>
        </w:rPr>
        <w:t xml:space="preserve">As the platform hardens for production, every commit must pass four gates before merging to main. Three are deterministic (fast, free, reliable): regression tests pass, test suite was updated when source changes, and Feature Code Documentation was updated for new features. The fourth gate sends the full PR diff to Claude for architectural review, checking for logic errors, healthcare compliance violations, N+1 queries, PHI exposure, and codebase style consistency. The AI reviewer posts a structured comment on the PR with STATUS (PASS/FAIL), severity, specific issues with line references, and remediation instructions.</w:t>
      </w:r>
    </w:p>
    <w:p>
      <w:pPr>
        <w:spacing w:after="60"/>
      </w:pPr>
    </w:p>
    <w:p>
      <w:pPr>
        <w:spacing w:before="220" w:after="100"/>
      </w:pPr>
      <w:r>
        <w:rPr>
          <w:rFonts w:ascii="Arial" w:cs="Arial" w:eastAsia="Arial" w:hAnsi="Arial"/>
          <w:b/>
          <w:bCs/>
          <w:color w:val="D4A017"/>
          <w:sz w:val="24"/>
          <w:szCs w:val="24"/>
        </w:rPr>
        <w:t xml:space="preserve">Four-Gate Architecture</w:t>
      </w:r>
    </w:p>
    <w:p>
      <w:pPr>
        <w:spacing w:after="100" w:line="276"/>
      </w:pPr>
      <w:r>
        <w:rPr>
          <w:rFonts w:ascii="Arial" w:cs="Arial" w:eastAsia="Arial" w:hAnsi="Arial"/>
          <w:color w:val="444444"/>
          <w:sz w:val="19"/>
          <w:szCs w:val="19"/>
        </w:rPr>
        <w:t xml:space="preserve">Gate 1 (Regression Tests): runs the 19+ pipeline wiring smoke tests inline via Node.js, verifying critical imports and call patterns in scan-scheduler, practice-scan, practice-payer-sync, dashboard page, trigger-workflows, and delta-engine. Zero database dependency, completes in under 30 seconds. Gate 2 (Test Coverage): uses git diff to detect when pipeline-critical source files (scan-scheduler, delta-engine, trigger-workflows, practice-scan, practice-payer-sync, payer-lookup) changed without a corresponding update to pipeline-wiring.test.ts — blocks merge if detected. Gate 3 (Documentation): uses git diff to detect when 2+ new source files were added under lib/ or app/api/ without a corresponding update to the Feature Code Documentation — blocks merge if detected. Gate 4 (AI Review): sends the full PR diff plus optional context files (DESIGN_PRINCIPLES.md, API_ROUTES_INDEX.md) to Claude via the Anthropic API. The evaluator script parses the structured response and exits non-zero on FAIL, blocking the merge.</w:t>
      </w:r>
    </w:p>
    <w:p>
      <w:pPr>
        <w:spacing w:after="60"/>
      </w:pPr>
    </w:p>
    <w:p>
      <w:pPr>
        <w:spacing w:before="220" w:after="100"/>
      </w:pPr>
      <w:r>
        <w:rPr>
          <w:rFonts w:ascii="Arial" w:cs="Arial" w:eastAsia="Arial" w:hAnsi="Arial"/>
          <w:b/>
          <w:bCs/>
          <w:color w:val="D4A017"/>
          <w:sz w:val="24"/>
          <w:szCs w:val="24"/>
        </w:rPr>
        <w:t xml:space="preserve">Evaluator System Prompt</w:t>
      </w:r>
    </w:p>
    <w:p>
      <w:pPr>
        <w:spacing w:after="100" w:line="276"/>
      </w:pPr>
      <w:r>
        <w:rPr>
          <w:rFonts w:ascii="Arial" w:cs="Arial" w:eastAsia="Arial" w:hAnsi="Arial"/>
          <w:color w:val="444444"/>
          <w:sz w:val="19"/>
          <w:szCs w:val="19"/>
        </w:rPr>
        <w:t xml:space="preserve">The evaluator’s system prompt encodes seven evaluation criteria tuned to KairoLogic’s architecture. Architectural adherence: checks two-phase sync, DB-fallback triggers, three-source delta, safeQuery patterns, and payer alias mapping. Logic and edge cases: unhandled nulls, race conditions, SQL injection via string interpolation, Supabase queries missing filters. Healthcare compliance: PHI/PII in logs or URLs, missing audit trail entries, verification_status bypasses. Efficiency: N+1 queries, O(n^2) complexity, missing indexes. Over-engineering: unnecessary abstractions, dead code. Test coverage: whether tests were updated for source changes. Documentation: whether the Feature Code Documentation was updated for new features. The model returns a structured format with STATUS, SEVERITY, ISSUES (with file:line references), TEST_COVERAGE, DOC_COVERAGE, and REMEDIATION.</w:t>
      </w:r>
    </w:p>
    <w:p>
      <w:pPr>
        <w:spacing w:after="60"/>
      </w:pPr>
    </w:p>
    <w:p>
      <w:pPr>
        <w:spacing w:before="220" w:after="100"/>
      </w:pPr>
      <w:r>
        <w:rPr>
          <w:rFonts w:ascii="Arial" w:cs="Arial" w:eastAsia="Arial" w:hAnsi="Arial"/>
          <w:b/>
          <w:bCs/>
          <w:color w:val="D4A017"/>
          <w:sz w:val="24"/>
          <w:szCs w:val="24"/>
        </w:rPr>
        <w:t xml:space="preserve">Files</w:t>
      </w:r>
    </w:p>
    <w:p>
      <w:pPr>
        <w:spacing w:after="80" w:line="276"/>
      </w:pPr>
      <w:r>
        <w:rPr>
          <w:rFonts w:ascii="Arial" w:cs="Arial" w:eastAsia="Arial" w:hAnsi="Arial"/>
          <w:b/>
          <w:bCs/>
          <w:color w:val="0B1E3D"/>
          <w:sz w:val="19"/>
          <w:szCs w:val="19"/>
        </w:rPr>
        <w:t xml:space="preserve">scripts/evaluator_node.py: </w:t>
      </w:r>
      <w:r>
        <w:rPr>
          <w:rFonts w:ascii="Arial" w:cs="Arial" w:eastAsia="Arial" w:hAnsi="Arial"/>
          <w:color w:val="444444"/>
          <w:sz w:val="19"/>
          <w:szCs w:val="19"/>
        </w:rPr>
        <w:t xml:space="preserve">Core: sends diff to Claude API, parses structured STATUS/SEVERITY/ISSUES response, exits non-zero on FAIL. Supports --context-files for architecture docs. Falls back to urllib if anthropic SDK unavailable</w:t>
      </w:r>
    </w:p>
    <w:p>
      <w:pPr>
        <w:spacing w:after="80" w:line="276"/>
      </w:pPr>
      <w:r>
        <w:rPr>
          <w:rFonts w:ascii="Arial" w:cs="Arial" w:eastAsia="Arial" w:hAnsi="Arial"/>
          <w:b/>
          <w:bCs/>
          <w:color w:val="0B1E3D"/>
          <w:sz w:val="19"/>
          <w:szCs w:val="19"/>
        </w:rPr>
        <w:t xml:space="preserve">.github/workflows/ai-evaluator.yml: </w:t>
      </w:r>
      <w:r>
        <w:rPr>
          <w:rFonts w:ascii="Arial" w:cs="Arial" w:eastAsia="Arial" w:hAnsi="Arial"/>
          <w:color w:val="444444"/>
          <w:sz w:val="19"/>
          <w:szCs w:val="19"/>
        </w:rPr>
        <w:t xml:space="preserve">Four-gate workflow: Gate 1 (regression tests inline), Gate 2 (test coverage via git diff), Gate 3 (doc coverage via git diff), Gate 4 (AI review via evaluator_node.py). Posts structured PR comment with results. AI gate runs only after all three deterministic gates pass</w:t>
      </w:r>
    </w:p>
    <w:p>
      <w:pPr>
        <w:spacing w:after="80" w:line="276"/>
      </w:pPr>
      <w:r>
        <w:rPr>
          <w:rFonts w:ascii="Arial" w:cs="Arial" w:eastAsia="Arial" w:hAnsi="Arial"/>
          <w:b/>
          <w:bCs/>
          <w:color w:val="0B1E3D"/>
          <w:sz w:val="19"/>
          <w:szCs w:val="19"/>
        </w:rPr>
        <w:t xml:space="preserve">tests/regression/pipeline-wiring.test.ts: </w:t>
      </w:r>
      <w:r>
        <w:rPr>
          <w:rFonts w:ascii="Arial" w:cs="Arial" w:eastAsia="Arial" w:hAnsi="Arial"/>
          <w:color w:val="444444"/>
          <w:sz w:val="19"/>
          <w:szCs w:val="19"/>
        </w:rPr>
        <w:t xml:space="preserve">Patched: 3 new assertions verifying evaluator_node.py exists, ai-evaluator.yml exists, and evaluator has structured output parsing (now 22 total assertions)</w:t>
      </w:r>
    </w:p>
    <w:p>
      <w:pPr>
        <w:spacing w:after="60"/>
      </w:pPr>
    </w:p>
    <w:p>
      <w:pPr>
        <w:spacing w:before="360" w:after="100"/>
      </w:pPr>
      <w:r>
        <w:rPr>
          <w:rFonts w:ascii="Arial" w:cs="Arial" w:eastAsia="Arial" w:hAnsi="Arial"/>
          <w:b/>
          <w:bCs/>
          <w:color w:val="0B1E3D"/>
          <w:sz w:val="32"/>
          <w:szCs w:val="32"/>
        </w:rPr>
        <w:t xml:space="preserve">40. Confidence Scoring Engine (New)</w:t>
      </w:r>
    </w:p>
    <w:p>
      <w:pPr>
        <w:spacing w:after="100" w:line="276"/>
      </w:pPr>
      <w:r>
        <w:rPr>
          <w:rFonts w:ascii="Arial" w:cs="Arial" w:eastAsia="Arial" w:hAnsi="Arial"/>
          <w:color w:val="444444"/>
          <w:sz w:val="19"/>
          <w:szCs w:val="19"/>
        </w:rPr>
        <w:t xml:space="preserve">Provider-to-practice associations created by the scanner (web name matching, NPI-on-page detection, address co-location) had no quality signal beyond match_method. False positives (e.g. a chiropractor matched to a surgical practice, or an unrelated org NPI appearing on a shared-building website) were inserted with the same UNVERIFIED status as legitimate matches. This feature adds a tiered confidence scoring engine that cross-references each detection against NPPES data, geographic signals, taxonomy fit, and org corroboration to produce a 0–1 confidence score with automatic tier classification.</w:t>
      </w:r>
    </w:p>
    <w:p>
      <w:pPr>
        <w:spacing w:after="60"/>
      </w:pPr>
    </w:p>
    <w:p>
      <w:pPr>
        <w:spacing w:before="220" w:after="100"/>
      </w:pPr>
      <w:r>
        <w:rPr>
          <w:rFonts w:ascii="Arial" w:cs="Arial" w:eastAsia="Arial" w:hAnsi="Arial"/>
          <w:b/>
          <w:bCs/>
          <w:color w:val="0B1E3D"/>
          <w:sz w:val="24"/>
          <w:szCs w:val="24"/>
        </w:rPr>
        <w:t xml:space="preserve">Ten-Signal Scoring Model</w:t>
      </w:r>
    </w:p>
    <w:p>
      <w:pPr>
        <w:spacing w:after="100" w:line="276"/>
      </w:pPr>
      <w:r>
        <w:rPr>
          <w:rFonts w:ascii="Arial" w:cs="Arial" w:eastAsia="Arial" w:hAnsi="Arial"/>
          <w:color w:val="444444"/>
          <w:sz w:val="19"/>
          <w:szCs w:val="19"/>
        </w:rPr>
        <w:t xml:space="preserve">Seven positive signals: NAME_EXACT_MATCH (+0.25) compares normalized provider name against NPPES (strips suffixes MD/DO/FACS etc, uppercases). NAME_FUZZY_MATCH (+0.15) checks first+last overlap or 60% word overlap for org names. PHONE_MATCH (+0.20) compares last 10 digits of web phone vs NPPES phone. SAME_STATE (+0.08) and SAME_CITY (+0.07) compare NPPES geographic data against practice location. TAXONOMY_FITS_PRACTICE (+0.12) maps the provider’s NPPES primary taxonomy code against the practice’s known specialties via a TAXONOMY_SPECIALTY_MAP covering 22 taxonomy codes. ORG_CORROBORATION (+0.13) fires when 3+ providers at the practice are already confirmed, indicating strong organizational signal. Three negative signals: ENTITY_TYPE_PENALTY (-0.20) for Type 2 org NPIs appearing in an individual provider roster (unless the org name matches the practice name, which yields +0.10 instead). SPECIALTY_MISMATCH (-0.15) when taxonomy doesn’t fit the practice specialty profile. STALE_DATA_PENALTY (-0.05) for providers not seen on the website in 90+ days. Final score is clamped to 0–1.</w:t>
      </w:r>
    </w:p>
    <w:p>
      <w:pPr>
        <w:spacing w:after="60"/>
      </w:pPr>
    </w:p>
    <w:p>
      <w:pPr>
        <w:spacing w:before="220" w:after="100"/>
      </w:pPr>
      <w:r>
        <w:rPr>
          <w:rFonts w:ascii="Arial" w:cs="Arial" w:eastAsia="Arial" w:hAnsi="Arial"/>
          <w:b/>
          <w:bCs/>
          <w:color w:val="0B1E3D"/>
          <w:sz w:val="24"/>
          <w:szCs w:val="24"/>
        </w:rPr>
        <w:t xml:space="preserve">Tiered Auto-Action</w:t>
      </w:r>
    </w:p>
    <w:p>
      <w:pPr>
        <w:spacing w:after="100" w:line="276"/>
      </w:pPr>
      <w:r>
        <w:rPr>
          <w:rFonts w:ascii="Arial" w:cs="Arial" w:eastAsia="Arial" w:hAnsi="Arial"/>
          <w:color w:val="444444"/>
          <w:sz w:val="19"/>
          <w:szCs w:val="19"/>
        </w:rPr>
        <w:t xml:space="preserve">Confirmed (score ≥ 0.80): auto-inserted with status ACTIVE, shown on roster immediately. Unverified (0.50–0.79): inserted with status UNVERIFIED, shown on roster with amber badge, flagged for review. Review (score &lt; 0.50): inserted with status REVIEW, queued for manual approval before appearing on the active roster. The scan pipeline computes scores in real time: after matchProviders() identifies candidates, fetchNppesDataBatch() retrieves NPPES records for all matched NPIs, buildPracticeContext() assembles practice-level signals (name, state, confirmed count, specialties), and scoreMatchedProviders() runs the scoring model. Scores are stored on practice_providers as confidence_score (numeric 4,2), confidence_tier (text), confidence_signals (jsonb array of signal objects), and confidence_scored_at (timestamptz).</w:t>
      </w:r>
    </w:p>
    <w:p>
      <w:pPr>
        <w:spacing w:after="60"/>
      </w:pPr>
    </w:p>
    <w:p>
      <w:pPr>
        <w:spacing w:before="220" w:after="100"/>
      </w:pPr>
      <w:r>
        <w:rPr>
          <w:rFonts w:ascii="Arial" w:cs="Arial" w:eastAsia="Arial" w:hAnsi="Arial"/>
          <w:b/>
          <w:bCs/>
          <w:color w:val="0B1E3D"/>
          <w:sz w:val="24"/>
          <w:szCs w:val="24"/>
        </w:rPr>
        <w:t xml:space="preserve">Backfill Results (North Texas Medical Surgical Clinic PA)</w:t>
      </w:r>
    </w:p>
    <w:p>
      <w:pPr>
        <w:spacing w:after="100" w:line="276"/>
      </w:pPr>
      <w:r>
        <w:rPr>
          <w:rFonts w:ascii="Arial" w:cs="Arial" w:eastAsia="Arial" w:hAnsi="Arial"/>
          <w:color w:val="444444"/>
          <w:sz w:val="19"/>
          <w:szCs w:val="19"/>
        </w:rPr>
        <w:t xml:space="preserve">Retroactive scoring of all 19 existing practice_providers records validated the model. 9 providers scored 0.65 (unverified): exact name match + phone match + same state + taxonomy fit (surgery). These are legitimate surgeons whose only gap is the ORG_CORROBORATION signal (requires 3+ confirmed providers first). 5 providers scored 0.45 (review): name + state + taxonomy match but phone mismatch (Connaughton, Brooks, Reddell, Dillard, Schierling, Marr). 2 known false positives correctly flagged at 0.18 (review): Josh Paek (chiropractor, SPECIALTY_MISMATCH) and David Willingham (optometrist, SPECIALTY_MISMATCH). 1 unrelated org NPI correctly scored 0.00: Denton County MHMR Center (ENTITY_TYPE_PENALTY + SPECIALTY_MISMATCH). The org NPI for the practice itself scored 0.28 (ORG_NPI_MATCHES_PRACTICE helped, but SPECIALTY_MISMATCH for family medicine taxonomy against surgical practice pulled it down).</w:t>
      </w:r>
    </w:p>
    <w:p>
      <w:pPr>
        <w:spacing w:after="60"/>
      </w:pPr>
    </w:p>
    <w:p>
      <w:pPr>
        <w:spacing w:before="220" w:after="100"/>
      </w:pPr>
      <w:r>
        <w:rPr>
          <w:rFonts w:ascii="Arial" w:cs="Arial" w:eastAsia="Arial" w:hAnsi="Arial"/>
          <w:b/>
          <w:bCs/>
          <w:color w:val="0B1E3D"/>
          <w:sz w:val="24"/>
          <w:szCs w:val="24"/>
        </w:rPr>
        <w:t xml:space="preserve">Dashboard Review Matches Panel</w:t>
      </w:r>
    </w:p>
    <w:p>
      <w:pPr>
        <w:spacing w:after="100" w:line="276"/>
      </w:pPr>
      <w:r>
        <w:rPr>
          <w:rFonts w:ascii="Arial" w:cs="Arial" w:eastAsia="Arial" w:hAnsi="Arial"/>
          <w:color w:val="444444"/>
          <w:sz w:val="19"/>
          <w:szCs w:val="19"/>
        </w:rPr>
        <w:t xml:space="preserve">A new “Review Matches” panel in the dashboard right column shows all providers with unverified or review confidence tiers, sorted by score ascending (lowest confidence first). Each row displays a circular score badge (color-coded: amber for ≥0.50, orange for ≥0.20, red for &lt;0.20), the provider name in title case, the NPI number, and a tier label badge (“Unverified” or “Needs Review”). A “Review all matches” button navigates to the roster filtered by review status. The panel auto-hides when no providers need review. The server component queries practice_providers filtered by confidence_tier IN (‘review’, ‘unverified’) ordered by confidence_score ascending, limited to 20 results.</w:t>
      </w:r>
    </w:p>
    <w:p>
      <w:pPr>
        <w:spacing w:after="60"/>
      </w:pPr>
    </w:p>
    <w:p>
      <w:pPr>
        <w:spacing w:before="220" w:after="100"/>
      </w:pPr>
      <w:r>
        <w:rPr>
          <w:rFonts w:ascii="Arial" w:cs="Arial" w:eastAsia="Arial" w:hAnsi="Arial"/>
          <w:b/>
          <w:bCs/>
          <w:color w:val="0B1E3D"/>
          <w:sz w:val="24"/>
          <w:szCs w:val="24"/>
        </w:rPr>
        <w:t xml:space="preserve">Files</w:t>
      </w:r>
    </w:p>
    <w:p>
      <w:pPr>
        <w:spacing w:after="60" w:line="276"/>
      </w:pPr>
      <w:r>
        <w:rPr>
          <w:rFonts w:ascii="Arial" w:cs="Arial" w:eastAsia="Arial" w:hAnsi="Arial"/>
          <w:b/>
          <w:bCs/>
          <w:color w:val="0B1E3D"/>
          <w:sz w:val="19"/>
          <w:szCs w:val="19"/>
        </w:rPr>
        <w:t xml:space="preserve">lib/scanner/confidence-scorer.ts: </w:t>
      </w:r>
      <w:r>
        <w:rPr>
          <w:rFonts w:ascii="Arial" w:cs="Arial" w:eastAsia="Arial" w:hAnsi="Arial"/>
          <w:color w:val="444444"/>
          <w:sz w:val="19"/>
          <w:szCs w:val="19"/>
        </w:rPr>
        <w:t xml:space="preserve">Core: scoreProviderConfidence() with 10 weighted signals, normalizeName(), normalizePhone(), fuzzyNameMatch(), TAXONOMY_SPECIALTY_MAP (22 codes), tier classification. Exports ConfidenceSignal, ConfidenceResult, ProviderData, NppesData, PracticeContext types</w:t>
      </w:r>
    </w:p>
    <w:p>
      <w:pPr>
        <w:spacing w:after="60" w:line="276"/>
      </w:pPr>
      <w:r>
        <w:rPr>
          <w:rFonts w:ascii="Arial" w:cs="Arial" w:eastAsia="Arial" w:hAnsi="Arial"/>
          <w:b/>
          <w:bCs/>
          <w:color w:val="0B1E3D"/>
          <w:sz w:val="19"/>
          <w:szCs w:val="19"/>
        </w:rPr>
        <w:t xml:space="preserve">lib/scanner/scan-scheduler.ts: </w:t>
      </w:r>
      <w:r>
        <w:rPr>
          <w:rFonts w:ascii="Arial" w:cs="Arial" w:eastAsia="Arial" w:hAnsi="Arial"/>
          <w:color w:val="444444"/>
          <w:sz w:val="19"/>
          <w:szCs w:val="19"/>
        </w:rPr>
        <w:t xml:space="preserve">Patched: imports confidence-scorer, adds fetchNppesDataBatch(), buildPracticeContext(), scoreMatchedProviders() helpers. updatePracticeProviders() now accepts optional confidenceScores map, sets confidence_score/confidence_tier/confidence_signals on insert and update. Initial status auto-set by tier (confirmed→ACTIVE, unverified→UNVERIFIED, review→REVIEW)</w:t>
      </w:r>
    </w:p>
    <w:p>
      <w:pPr>
        <w:spacing w:after="60" w:line="276"/>
      </w:pPr>
      <w:r>
        <w:rPr>
          <w:rFonts w:ascii="Arial" w:cs="Arial" w:eastAsia="Arial" w:hAnsi="Arial"/>
          <w:b/>
          <w:bCs/>
          <w:color w:val="0B1E3D"/>
          <w:sz w:val="19"/>
          <w:szCs w:val="19"/>
        </w:rPr>
        <w:t xml:space="preserve">scripts/backfill-confidence-scores.ts, scripts/backfill-confidence-scores.mjs: </w:t>
      </w:r>
      <w:r>
        <w:rPr>
          <w:rFonts w:ascii="Arial" w:cs="Arial" w:eastAsia="Arial" w:hAnsi="Arial"/>
          <w:color w:val="444444"/>
          <w:sz w:val="19"/>
          <w:szCs w:val="19"/>
        </w:rPr>
        <w:t xml:space="preserve">Backfill: retroactive scoring for all existing practice_providers records. TypeScript and plain Node.js versions. Supports --practice filter, --dry-run mode. Batch-fetches NPPES data in groups of 50, builds practice context per site, outputs tabular results with NPI/Name/Score/Tier/TopSignal</w:t>
      </w:r>
    </w:p>
    <w:p>
      <w:pPr>
        <w:spacing w:after="60" w:line="276"/>
      </w:pPr>
      <w:r>
        <w:rPr>
          <w:rFonts w:ascii="Arial" w:cs="Arial" w:eastAsia="Arial" w:hAnsi="Arial"/>
          <w:b/>
          <w:bCs/>
          <w:color w:val="0B1E3D"/>
          <w:sz w:val="19"/>
          <w:szCs w:val="19"/>
        </w:rPr>
        <w:t xml:space="preserve">components/dashboard/DashboardHome.tsx: </w:t>
      </w:r>
      <w:r>
        <w:rPr>
          <w:rFonts w:ascii="Arial" w:cs="Arial" w:eastAsia="Arial" w:hAnsi="Arial"/>
          <w:color w:val="444444"/>
          <w:sz w:val="19"/>
          <w:szCs w:val="19"/>
        </w:rPr>
        <w:t xml:space="preserve">Patched: added ReviewMatch interface and reviewMatches prop. New Review Matches panel in right column after Payer Sync Status. Score badge with color coding, tier label, “Review all matches” navigation button</w:t>
      </w:r>
    </w:p>
    <w:p>
      <w:pPr>
        <w:spacing w:after="60" w:line="276"/>
      </w:pPr>
      <w:r>
        <w:rPr>
          <w:rFonts w:ascii="Arial" w:cs="Arial" w:eastAsia="Arial" w:hAnsi="Arial"/>
          <w:b/>
          <w:bCs/>
          <w:color w:val="0B1E3D"/>
          <w:sz w:val="19"/>
          <w:szCs w:val="19"/>
        </w:rPr>
        <w:t xml:space="preserve">app/(dashboard)/practice/[id]/page.tsx: </w:t>
      </w:r>
      <w:r>
        <w:rPr>
          <w:rFonts w:ascii="Arial" w:cs="Arial" w:eastAsia="Arial" w:hAnsi="Arial"/>
          <w:color w:val="444444"/>
          <w:sz w:val="19"/>
          <w:szCs w:val="19"/>
        </w:rPr>
        <w:t xml:space="preserve">Patched: added reviewMatchesResult to parallel Promise.all fetch, queries practice_providers filtered by confidence_tier IN (‘review’, ‘unverified’), passes reviewMatches prop to DashboardHome</w:t>
      </w:r>
    </w:p>
    <w:p>
      <w:pPr>
        <w:spacing w:after="60" w:line="276"/>
      </w:pPr>
      <w:r>
        <w:rPr>
          <w:rFonts w:ascii="Arial" w:cs="Arial" w:eastAsia="Arial" w:hAnsi="Arial"/>
          <w:b/>
          <w:bCs/>
          <w:color w:val="0B1E3D"/>
          <w:sz w:val="19"/>
          <w:szCs w:val="19"/>
        </w:rPr>
        <w:t xml:space="preserve">Database schema: </w:t>
      </w:r>
      <w:r>
        <w:rPr>
          <w:rFonts w:ascii="Arial" w:cs="Arial" w:eastAsia="Arial" w:hAnsi="Arial"/>
          <w:color w:val="444444"/>
          <w:sz w:val="19"/>
          <w:szCs w:val="19"/>
        </w:rPr>
        <w:t xml:space="preserve">Added to practice_providers: confidence_score numeric(4,2), confidence_tier text CHECK IN (‘confirmed’,‘unverified’,‘review’), confidence_signals jsonb, confidence_scored_at timestamptz</w:t>
      </w:r>
    </w:p>
    <w:p>
      <w:pPr>
        <w:spacing w:after="60"/>
      </w:pPr>
    </w:p>
    <w:p>
      <w:pPr>
        <w:pBdr>
          <w:top w:val="single" w:color="D4A017" w:sz="2" w:space="8"/>
        </w:pBdr>
        <w:spacing w:before="200" w:after="60"/>
        <w:jc w:val="center"/>
      </w:pPr>
      <w:r>
        <w:rPr>
          <w:rFonts w:ascii="Arial" w:cs="Arial" w:eastAsia="Arial" w:hAnsi="Arial"/>
          <w:b/>
          <w:bCs/>
          <w:color w:val="0B1E3D"/>
          <w:sz w:val="20"/>
          <w:szCs w:val="20"/>
        </w:rPr>
        <w:t xml:space="preserve">Updated File Inventory: ~362 files  |  ~68,700 lines  |  30 test files  |  15 workflows</w:t>
      </w:r>
    </w:p>
    <w:p>
      <w:pPr>
        <w:spacing w:after="200"/>
        <w:jc w:val="center"/>
      </w:pPr>
      <w:r>
        <w:rPr>
          <w:rFonts w:ascii="Arial" w:cs="Arial" w:eastAsia="Arial" w:hAnsi="Arial"/>
          <w:color w:val="999999"/>
          <w:sz w:val="18"/>
          <w:szCs w:val="18"/>
        </w:rPr>
        <w:t xml:space="preserve">KairoLogic  |  Provider Data Intelligence  |  kairologic.net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2026-03-09T21:33:09.926Z</dcterms:created>
  <dcterms:modified xsi:type="dcterms:W3CDTF">2026-03-09T21:33:09.927Z</dcterms:modified>
</cp:coreProperties>
</file>

<file path=docProps/custom.xml><?xml version="1.0" encoding="utf-8"?>
<Properties xmlns="http://schemas.openxmlformats.org/officeDocument/2006/custom-properties" xmlns:vt="http://schemas.openxmlformats.org/officeDocument/2006/docPropsVTypes"/>
</file>