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微软雅黑" w:hAnsi="微软雅黑" w:eastAsia="微软雅黑"/>
          <w:b/>
          <w:color w:val="000000"/>
          <w:sz w:val="40"/>
        </w:rPr>
        <w:t>视觉复检模型阶段进展汇报</w:t>
      </w:r>
    </w:p>
    <w:p>
      <w:pPr>
        <w:spacing w:before="0" w:after="200" w:line="300" w:lineRule="auto"/>
        <w:jc w:val="center"/>
      </w:pPr>
      <w:r>
        <w:rPr>
          <w:rFonts w:ascii="微软雅黑" w:hAnsi="微软雅黑" w:eastAsia="微软雅黑"/>
          <w:b w:val="0"/>
          <w:color w:val="595959"/>
          <w:sz w:val="19"/>
        </w:rPr>
        <w:t>核对日期：2026-09-07    适用场景：3–5 分钟工作汇报</w:t>
      </w:r>
    </w:p>
    <w:p>
      <w:pPr>
        <w:spacing w:before="80" w:after="120"/>
      </w:pPr>
      <w:r>
        <w:rPr>
          <w:rFonts w:ascii="微软雅黑" w:hAnsi="微软雅黑" w:eastAsia="微软雅黑"/>
          <w:b/>
          <w:color w:val="000000"/>
          <w:sz w:val="26"/>
        </w:rPr>
        <w:t>一、一句话结论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数据复检整理、人工金标快照和公司 GPU 上的多条训练实验已经完成，工作进入模型效果验证阶段：轻量复检模型已有初步离线结果，Qwen 微调已跑完全部训练步数但评估失败，目前尚未形成通过独立验收的上线模型。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000000"/>
          <w:sz w:val="26"/>
        </w:rPr>
        <w:t>二、阶段进度总览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595959"/>
          <w:sz w:val="18"/>
        </w:rPr>
        <w:t>状态分三类：已完成（绿）、部分完成或存在故障（橙）、未达到验收条件（红）。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27"/>
        <w:gridCol w:w="1587"/>
        <w:gridCol w:w="5443"/>
      </w:tblGrid>
      <w:tr>
        <w:trPr>
          <w:tblHeader w:val="true"/>
        </w:trPr>
        <w:tc>
          <w:tcPr>
            <w:tcW w:type="dxa" w:w="1928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工作阶段</w:t>
            </w:r>
          </w:p>
        </w:tc>
        <w:tc>
          <w:tcPr>
            <w:tcW w:type="dxa" w:w="1587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5443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关键事实与汇报边界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候选框复检与数据整理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7A33"/>
                <w:sz w:val="19"/>
              </w:rPr>
              <w:t>已完成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首轮 755 张图 / 3552 个候选框；第二轮复检 751 个存疑框（判真 196、判假 37、仍存疑 518）。模型标签属于伪标签。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人工金标与数据快照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7A33"/>
                <w:sz w:val="19"/>
              </w:rPr>
              <w:t>已完成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已形成两版可追溯快照（848 行旧快照、535 框规范化快照），口径不同不能相加；来源和分组仍需补强。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YOLOE 训练链路验证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7A33"/>
                <w:sz w:val="19"/>
              </w:rPr>
              <w:t>已完成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公司 GPU 完成 1 epoch 冒烟训练并保存权重；使用伪标签、跳过验证，不报 mAP 或效果提升。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Qwen QLoRA 微调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B26A00"/>
                <w:sz w:val="19"/>
              </w:rPr>
              <w:t>评估失败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训练已跑完：3 epoch、2022/2022 步，checkpoint 已保存；但任务退出码 JOB.exit=1，评估因批大小配置不匹配报错，微调效果尚未验证。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轻量裁剪复检模型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B26A00"/>
                <w:sz w:val="19"/>
              </w:rPr>
              <w:t>部分完成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完成多组 GPU 训练实验，三组随机种子在 94 条人工验证样本上准确率 75.53%–84.04%；结果存在波动，误放行偏高，属小样本实验结果。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Qwen 提示词评估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B26A00"/>
                <w:sz w:val="19"/>
              </w:rPr>
              <w:t>部分完成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评估链路已跑通（两版提示词共 876 次调用），但输出全部 uncertain，二分类覆盖为零，业务效果未达标。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独立测试与上线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未验收</w:t>
            </w:r>
          </w:p>
        </w:tc>
        <w:tc>
          <w:tcPr>
            <w:tcW w:type="dxa" w:w="54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7FB"/>
          </w:tcPr>
          <w:p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未达到验收条件：来源审查结论为不具备正式训练和准确率提升申报条件；无通过锁定测试及部署验收的证据，暂无上线日期依据。</w:t>
            </w:r>
          </w:p>
        </w:tc>
      </w:tr>
    </w:tbl>
    <w:p>
      <w:pPr>
        <w:spacing w:before="120" w:after="0" w:line="300" w:lineRule="auto"/>
      </w:pPr>
      <w:r>
        <w:rPr>
          <w:rFonts w:ascii="微软雅黑" w:hAnsi="微软雅黑" w:eastAsia="微软雅黑"/>
          <w:b w:val="0"/>
          <w:color w:val="595959"/>
          <w:sz w:val="18"/>
        </w:rPr>
        <w:t>说明：以上“已训练”“评估失败”“未验收”为三种不同状态——权重训练完成不等于效果通过验证，更不等于达到上线标准。</w:t>
      </w:r>
    </w:p>
    <w:p>
      <w:pPr>
        <w:spacing w:before="0" w:after="0"/>
      </w:pPr>
      <w:r>
        <w:rPr>
          <w:sz w:val="4"/>
        </w:rPr>
        <w:br w:type="page"/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00"/>
          <w:sz w:val="26"/>
        </w:rPr>
        <w:t>三、训练结果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000000"/>
          <w:sz w:val="23"/>
        </w:rPr>
        <w:t>3.1 轻量裁剪复检模型（多组种子实验）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同一组 94 条人工验证样本（70 真、24 假），固定阈值 0.5：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1360"/>
        <w:gridCol w:w="2494"/>
        <w:gridCol w:w="2494"/>
      </w:tblGrid>
      <w:tr>
        <w:trPr>
          <w:tblHeader w:val="true"/>
        </w:trPr>
        <w:tc>
          <w:tcPr>
            <w:tcW w:type="dxa" w:w="1247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随机种子</w:t>
            </w:r>
          </w:p>
        </w:tc>
        <w:tc>
          <w:tcPr>
            <w:tcW w:type="dxa" w:w="1361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判对样本</w:t>
            </w:r>
          </w:p>
        </w:tc>
        <w:tc>
          <w:tcPr>
            <w:tcW w:type="dxa" w:w="1361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准确率</w:t>
            </w:r>
          </w:p>
        </w:tc>
        <w:tc>
          <w:tcPr>
            <w:tcW w:type="dxa" w:w="2494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真实目标被判假（误杀）</w:t>
            </w:r>
          </w:p>
        </w:tc>
        <w:tc>
          <w:tcPr>
            <w:tcW w:type="dxa" w:w="2494"/>
            <w:vAlign w:val="center"/>
            <w:shd w:val="clear" w:fill="3B58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假目标被判真（误放行）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79 / 94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84.04%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5 / 70 = 7.14%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10 / 24 = 41.67%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71 / 94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75.53%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10 / 70 = 14.29%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13 / 24 = 54.17%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123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75 / 94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79.79%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7 / 70 = 10.00%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12 / 24 = 50.00%</w:t>
            </w:r>
          </w:p>
        </w:tc>
      </w:tr>
    </w:tbl>
    <w:p>
      <w:pPr>
        <w:spacing w:before="80" w:after="160" w:line="300" w:lineRule="auto"/>
      </w:pPr>
      <w:r>
        <w:rPr>
          <w:rFonts w:ascii="微软雅黑" w:hAnsi="微软雅黑" w:eastAsia="微软雅黑"/>
          <w:b w:val="0"/>
          <w:color w:val="000000"/>
          <w:sz w:val="19"/>
        </w:rPr>
        <w:t>三组准确率简单平均 79.79%；最好一组判对 79/94。</w:t>
      </w:r>
    </w:p>
    <w:p>
      <w:pPr>
        <w:spacing w:before="80" w:after="80"/>
      </w:pPr>
      <w:r>
        <w:rPr>
          <w:rFonts w:ascii="微软雅黑" w:hAnsi="微软雅黑" w:eastAsia="微软雅黑"/>
          <w:b/>
          <w:color w:val="000000"/>
          <w:sz w:val="23"/>
        </w:rPr>
        <w:t>3.2 Qwen 视觉模型 QLoRA 微调</w:t>
      </w:r>
    </w:p>
    <w:p>
      <w:pPr>
        <w:spacing w:before="0" w:after="60" w:line="300" w:lineRule="auto"/>
      </w:pPr>
      <w:r>
        <w:rPr>
          <w:rFonts w:ascii="微软雅黑" w:hAnsi="微软雅黑" w:eastAsia="微软雅黑"/>
          <w:b/>
          <w:color w:val="000000"/>
          <w:sz w:val="20"/>
        </w:rPr>
        <w:t>训练：</w:t>
      </w:r>
      <w:r>
        <w:rPr>
          <w:rFonts w:ascii="微软雅黑" w:hAnsi="微软雅黑" w:eastAsia="微软雅黑"/>
          <w:b w:val="0"/>
          <w:color w:val="000000"/>
          <w:sz w:val="20"/>
        </w:rPr>
        <w:t>已完成 3 epoch、2022/2022 步微调，checkpoint 已保存，训练事实成立。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/>
          <w:color w:val="000000"/>
          <w:sz w:val="20"/>
        </w:rPr>
        <w:t>评估：</w:t>
      </w:r>
      <w:r>
        <w:rPr>
          <w:rFonts w:ascii="微软雅黑" w:hAnsi="微软雅黑" w:eastAsia="微软雅黑"/>
          <w:b w:val="0"/>
          <w:color w:val="C00000"/>
          <w:sz w:val="20"/>
        </w:rPr>
        <w:t>任务退出码 JOB.exit=1，评估环节报错（数据整理器只接受 batch size 1），完整任务没有成功收尾，暂不能宣称微调效果已验证。</w:t>
      </w:r>
    </w:p>
    <w:p>
      <w:pPr>
        <w:spacing w:before="80" w:after="80"/>
      </w:pPr>
      <w:r>
        <w:rPr>
          <w:rFonts w:ascii="微软雅黑" w:hAnsi="微软雅黑" w:eastAsia="微软雅黑"/>
          <w:b/>
          <w:color w:val="000000"/>
          <w:sz w:val="23"/>
        </w:rPr>
        <w:t>3.3 Qwen 提示词评估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两版提示词在同一批 438 个候选框上共完成 876 次调用，输出全部 uncertain，即二分类覆盖为零；最新已核到的小集评估 21/21 输出有效，其中 11 条正确、10 条误接受，不能宣布效果达标。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000000"/>
          <w:sz w:val="26"/>
        </w:rPr>
        <w:t>四、结果的使用限制</w:t>
      </w:r>
    </w:p>
    <w:p>
      <w:pPr>
        <w:pStyle w:val="ListBullet"/>
        <w:spacing w:before="0" w:after="8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小样本属性：94 条人工验证样本被三组实验重复使用，不能当作三份独立验证数据；84.04% 只能表述为单次小样本实验结果，不能报成生产准确率。</w:t>
      </w:r>
    </w:p>
    <w:p>
      <w:pPr>
        <w:pStyle w:val="ListBullet"/>
        <w:spacing w:before="0" w:after="8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误放行偏高：三组实验中假目标被判真的比例在 41.67%–54.17%，模型判定尚不稳定。</w:t>
      </w:r>
    </w:p>
    <w:p>
      <w:pPr>
        <w:pStyle w:val="ListBullet"/>
        <w:spacing w:before="0" w:after="8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衡量范围有限：结果只衡量已有候选框的真假判断，不衡量整图漏检或 mAP；增加训练轮数（6→12 epoch）未带来该次实验提升。</w:t>
      </w:r>
    </w:p>
    <w:p>
      <w:pPr>
        <w:pStyle w:val="ListBullet"/>
        <w:spacing w:before="0" w:after="8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数据可信度：来源审查发现任务级跨集合问题（详见第三页），即使图片层面无交叉，也不能据此宣称正式泛化能力。</w:t>
      </w:r>
    </w:p>
    <w:p>
      <w:pPr>
        <w:pStyle w:val="ListBullet"/>
        <w:spacing w:before="0" w:after="8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不能给出提升百分点：旧服务基线与本次实验的分母、数据集合及分组条件不同，必须统一对照后才能比较。</w:t>
      </w:r>
    </w:p>
    <w:p>
      <w:pPr>
        <w:spacing w:before="0" w:after="0"/>
      </w:pPr>
      <w:r>
        <w:rPr>
          <w:sz w:val="4"/>
        </w:rPr>
        <w:br w:type="page"/>
      </w:r>
    </w:p>
    <w:p>
      <w:pPr>
        <w:pageBreakBefore/>
        <w:spacing w:before="40" w:after="120"/>
      </w:pPr>
      <w:r>
        <w:rPr>
          <w:rFonts w:ascii="微软雅黑" w:hAnsi="微软雅黑" w:eastAsia="微软雅黑"/>
          <w:b/>
          <w:color w:val="000000"/>
          <w:sz w:val="26"/>
        </w:rPr>
        <w:t>五、当前主要阻塞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/>
          <w:color w:val="C00000"/>
          <w:sz w:val="21"/>
        </w:rPr>
        <w:t>1. 缺少可追溯的干净原图（红）</w:t>
      </w:r>
    </w:p>
    <w:p>
      <w:pPr>
        <w:spacing w:before="0" w:after="12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数据审查发现无法取得可读取、可校验的无框原图，标注图与原图的对应关系、坐标映射及任务来源不完整，直接影响金标数据的可信度。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/>
          <w:color w:val="C00000"/>
          <w:sz w:val="21"/>
        </w:rPr>
        <w:t>2. 同一任务跨选择集与锁定测试集（红）</w:t>
      </w:r>
    </w:p>
    <w:p>
      <w:pPr>
        <w:spacing w:before="0" w:after="12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30 个可恢复任务中有 22 个同时出现在提示词选择集和锁定测试集，影响 215 张金标输入图中的 198 张，需按任务或更高来源组重建隔离。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/>
          <w:color w:val="B26A00"/>
          <w:sz w:val="21"/>
        </w:rPr>
        <w:t>3. Qwen 评估故障未收尾（橙）</w:t>
      </w:r>
    </w:p>
    <w:p>
      <w:pPr>
        <w:spacing w:before="0" w:after="12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验证批大小配置与数据整理器约束不匹配导致报错，已有 2022 步权重的基座/微调对照评估尚未补跑。</w:t>
      </w:r>
    </w:p>
    <w:p>
      <w:pPr>
        <w:spacing w:before="0" w:after="20" w:line="300" w:lineRule="auto"/>
      </w:pPr>
      <w:r>
        <w:rPr>
          <w:rFonts w:ascii="微软雅黑" w:hAnsi="微软雅黑" w:eastAsia="微软雅黑"/>
          <w:b/>
          <w:color w:val="B26A00"/>
          <w:sz w:val="21"/>
        </w:rPr>
        <w:t>4. 模型判定不稳定（橙）</w:t>
      </w:r>
    </w:p>
    <w:p>
      <w:pPr>
        <w:spacing w:before="0" w:after="120" w:line="300" w:lineRule="auto"/>
        <w:ind w:left="283"/>
      </w:pPr>
      <w:r>
        <w:rPr>
          <w:rFonts w:ascii="微软雅黑" w:hAnsi="微软雅黑" w:eastAsia="微软雅黑"/>
          <w:b w:val="0"/>
          <w:color w:val="000000"/>
          <w:sz w:val="20"/>
        </w:rPr>
        <w:t>轻量模型三组结果波动（75.53%–84.04%）且误放行偏高；提示词调整未证明能稳定改善。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000000"/>
          <w:sz w:val="26"/>
        </w:rPr>
        <w:t>六、下一步建议（待确认）</w:t>
      </w:r>
    </w:p>
    <w:p>
      <w:pPr>
        <w:pStyle w:val="ListNumber"/>
        <w:spacing w:after="60" w:line="300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补齐数据来源：落实干净原图及任务来源的负责人和交付时间，先解决资源再谈排期。</w:t>
      </w:r>
    </w:p>
    <w:p>
      <w:pPr>
        <w:pStyle w:val="ListNumber"/>
        <w:spacing w:after="60" w:line="300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评估故障收尾：修复批大小约束，先验证已有 checkpoint 的加载与推理，再补跑基座与微调模型的同集对照。</w:t>
      </w:r>
    </w:p>
    <w:p>
      <w:pPr>
        <w:pStyle w:val="ListNumber"/>
        <w:spacing w:after="60" w:line="300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重建可信对照：按任务/来源组重建隔离数据集，补充少样本类别与负样本，完成新的盲审人工集。</w:t>
      </w:r>
    </w:p>
    <w:p>
      <w:pPr>
        <w:pStyle w:val="ListNumber"/>
        <w:spacing w:after="60" w:line="300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统一验收口径：统一报告误杀率、误放行率、不确定/人工复核比例和时延；阈值与数据冻结后独立测试，通过后再提出影子验证及上线建议。</w:t>
      </w:r>
    </w:p>
    <w:p>
      <w:pPr>
        <w:spacing w:before="40" w:after="160" w:line="300" w:lineRule="auto"/>
      </w:pPr>
      <w:r>
        <w:rPr>
          <w:rFonts w:ascii="微软雅黑" w:hAnsi="微软雅黑" w:eastAsia="微软雅黑"/>
          <w:b w:val="0"/>
          <w:color w:val="595959"/>
          <w:sz w:val="19"/>
        </w:rPr>
        <w:t>目前没有依据承诺固定上线日期；建议先落实原图与来源数据，再给出训练、评估和影子验证的时间安排。</w:t>
      </w:r>
    </w:p>
    <w:p>
      <w:pPr>
        <w:spacing w:before="120" w:after="120"/>
      </w:pPr>
      <w:r>
        <w:rPr>
          <w:rFonts w:ascii="微软雅黑" w:hAnsi="微软雅黑" w:eastAsia="微软雅黑"/>
          <w:b/>
          <w:color w:val="000000"/>
          <w:sz w:val="26"/>
        </w:rPr>
        <w:t>七、一分钟口头汇报稿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这阶段推进视觉复检能力，目标是对现有检测框再判断一次，减少误报。数据侧已完成两轮复检（755 张图、3552 个候选框，第二轮复核 751 个存疑框），并建立了可追溯的人工金标快照。训练侧：轻量复检模型完成多组 GPU 实验，三组种子在 94 条人工验证样本上准确率 75.53% 到 84.04%，最好一组判对 79 条；Qwen 微调已跑完 3 轮、2022 步并保存权重，但评估因配置问题报错，效果尚未闭环。目前卡在两点：一是判定不稳定、误放行偏高；二是缺干净原图、同一任务跨集合，影响结果可信度。下一步先补齐原图和来源、补跑评估、重建隔离数据集，统一验收指标后再决定是否进入影子验证。还没有通过独立验收的上线模型，暂不承诺上线日期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8"/>
      </w:rPr>
      <w:t xml:space="preserve">第 </w:t>
    </w:r>
    <w:fldSimple w:instr="PAGE">
      <w:r>
        <w:rPr>
          <w:sz w:val="18"/>
          <w:color w:val="595959"/>
        </w:rPr>
        <w:t>1</w:t>
      </w:r>
    </w:fldSimple>
    <w:r>
      <w:rPr>
        <w:rFonts w:ascii="微软雅黑" w:hAnsi="微软雅黑" w:eastAsia="微软雅黑"/>
        <w:b w:val="0"/>
        <w:color w:val="595959"/>
        <w:sz w:val="18"/>
      </w:rPr>
      <w:t xml:space="preserve"> 页 / 共 </w:t>
    </w:r>
    <w:fldSimple w:instr="NUMPAGES">
      <w:r>
        <w:rPr>
          <w:sz w:val="18"/>
          <w:color w:val="595959"/>
        </w:rPr>
        <w:t>3</w:t>
      </w:r>
    </w:fldSimple>
    <w:r>
      <w:rPr>
        <w:rFonts w:ascii="微软雅黑" w:hAnsi="微软雅黑" w:eastAsia="微软雅黑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