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  <w:r w:rsidR="005012DC">
              <w:t>.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505AE5">
              <w:t xml:space="preserve"> (Python</w:t>
            </w:r>
            <w:r w:rsidR="00844877">
              <w:t xml:space="preserve"> - Pandas</w:t>
            </w:r>
            <w:r w:rsidR="00505AE5">
              <w:t>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  <w:r w:rsidR="005012DC">
              <w:t>.</w:t>
            </w:r>
          </w:p>
          <w:p w:rsidR="005C755E" w:rsidRDefault="00AC7463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Built </w:t>
            </w:r>
            <w:bookmarkStart w:id="0" w:name="_GoBack"/>
            <w:bookmarkEnd w:id="0"/>
            <w:r>
              <w:t xml:space="preserve">framework for using </w:t>
            </w:r>
            <w:r w:rsidR="002B5E2B">
              <w:t xml:space="preserve">machine learning </w:t>
            </w:r>
            <w:r w:rsidR="005D1EF3">
              <w:t>(Python</w:t>
            </w:r>
            <w:r w:rsidR="00844877">
              <w:t xml:space="preserve"> - </w:t>
            </w:r>
            <w:proofErr w:type="spellStart"/>
            <w:r w:rsidR="00844877">
              <w:t>Scikit</w:t>
            </w:r>
            <w:proofErr w:type="spellEnd"/>
            <w:r w:rsidR="00844877">
              <w:t>-learn</w:t>
            </w:r>
            <w:r w:rsidR="005D1EF3">
              <w:t xml:space="preserve">) </w:t>
            </w:r>
            <w:r>
              <w:t>to</w:t>
            </w:r>
            <w:r w:rsidR="002B5E2B">
              <w:t xml:space="preserve"> impr</w:t>
            </w:r>
            <w:r w:rsidR="00D916CE">
              <w:t>ove epidemiological predictions in data-sparse areas</w:t>
            </w:r>
            <w:r>
              <w:t>. I</w:t>
            </w:r>
            <w:r w:rsidR="000F50C2">
              <w:t>ncreased model performance 50%-100%</w:t>
            </w:r>
            <w:r w:rsidR="00726AC2">
              <w:t xml:space="preserve"> on average</w:t>
            </w:r>
            <w:r>
              <w:t xml:space="preserve"> and</w:t>
            </w:r>
            <w:r w:rsidR="005012DC">
              <w:t xml:space="preserve"> </w:t>
            </w:r>
            <w:r w:rsidR="00C87229">
              <w:t>g</w:t>
            </w:r>
            <w:r w:rsidR="000F50C2">
              <w:t>ained</w:t>
            </w:r>
            <w:r w:rsidR="00E57494">
              <w:t xml:space="preserve"> </w:t>
            </w:r>
            <w:r w:rsidR="000F50C2">
              <w:t xml:space="preserve">approval from the </w:t>
            </w:r>
            <w:r w:rsidR="002B5E2B">
              <w:t>IHME scientific council</w:t>
            </w:r>
            <w:r w:rsidR="005012DC">
              <w:t>.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in ArcGIS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trips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</w:p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 xml:space="preserve">Computer </w:t>
            </w:r>
            <w:proofErr w:type="gramStart"/>
            <w:r>
              <w:t>Programming</w:t>
            </w:r>
            <w:proofErr w:type="gramEnd"/>
            <w:r>
              <w:t xml:space="preserve">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:rsidR="00490579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358" w:rsidRDefault="00A80358">
      <w:r>
        <w:separator/>
      </w:r>
    </w:p>
  </w:endnote>
  <w:endnote w:type="continuationSeparator" w:id="0">
    <w:p w:rsidR="00A80358" w:rsidRDefault="00A8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358" w:rsidRDefault="00A80358">
      <w:r>
        <w:separator/>
      </w:r>
    </w:p>
  </w:footnote>
  <w:footnote w:type="continuationSeparator" w:id="0">
    <w:p w:rsidR="00A80358" w:rsidRDefault="00A80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77D2"/>
    <w:rsid w:val="00062ED8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21E51"/>
    <w:rsid w:val="001305E3"/>
    <w:rsid w:val="00131D80"/>
    <w:rsid w:val="00147924"/>
    <w:rsid w:val="00161E60"/>
    <w:rsid w:val="00163477"/>
    <w:rsid w:val="00191E19"/>
    <w:rsid w:val="001A04ED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12DC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B7B66"/>
    <w:rsid w:val="007E6C79"/>
    <w:rsid w:val="00820E54"/>
    <w:rsid w:val="00844877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A01476"/>
    <w:rsid w:val="00A51C5E"/>
    <w:rsid w:val="00A80358"/>
    <w:rsid w:val="00A81032"/>
    <w:rsid w:val="00AA523F"/>
    <w:rsid w:val="00AB6802"/>
    <w:rsid w:val="00AC706F"/>
    <w:rsid w:val="00AC7463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229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255C0"/>
    <w:rsid w:val="00E3762D"/>
    <w:rsid w:val="00E57494"/>
    <w:rsid w:val="00E61C3F"/>
    <w:rsid w:val="00E67B0F"/>
    <w:rsid w:val="00EA0723"/>
    <w:rsid w:val="00EA152C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F81A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3</cp:revision>
  <cp:lastPrinted>2018-03-12T19:24:00Z</cp:lastPrinted>
  <dcterms:created xsi:type="dcterms:W3CDTF">2018-03-27T00:11:00Z</dcterms:created>
  <dcterms:modified xsi:type="dcterms:W3CDTF">2018-04-10T07:02:00Z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