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2.1 数据预处理</w:t>
      </w:r>
    </w:p>
    <w:p>
      <w:r>
        <w:t>数据源为经结构化抽取后的临床病例队列，变量涵盖疾病诊断、用药记录与实验室检验三类。预处理遵循可复现与因果推断一致性原则，具体步骤如下：(1) 变量整合与命名规范：统一变量前缀与语义映射（如‘疾病_’、‘药物_’、‘检验_’），保证跨模块的一致性；对多次就诊记录按患者维度聚合为横向特征矩阵。(2) 缺失值与异常值处理：原始可用特征为二值指示变量，缺失比为0.0；对潜在异常输入进行边界校验，确保取值∈{0,1}。(3) 编码与类型转换：将分类变量统一编码为0/1指示；删除仅用于标识的ID列以避免泄露。(4) 特征稀疏性评估：计算每列‘阳性’比例与每行阳性计数分布，以指导后续结构学习的正则化与阈值设定。(5) 训练数据准备：对连续变量场景采用中位数分割进行二值化；本数据集为已二值化矩阵，无需额外标准化。</w:t>
      </w:r>
    </w:p>
    <w:p>
      <w:pPr>
        <w:pStyle w:val="Heading2"/>
      </w:pPr>
      <w:r>
        <w:t>3.1 数据预处理结果</w:t>
      </w:r>
    </w:p>
    <w:p>
      <w:r>
        <w:t>数据集规模：301行×150特征；ID重复计数为0。缺失值总数为0，特征二值化比例为1.00。行级阳性计数分布：均值18.38，标准差8.37，中位数17（IQR：12–24），范围0–40。列级阳性比例分布：均值0.123，标准差0.131，中位数0.08（IQR：0.04–0.16），范围0.00–0.70。上述统计表明数据为稀疏二值矩阵（平均阳性比例≈0.123），适合于基于离散变量的因果结构学习与多方法参数估计（MLE、Bayesian、EM、SEM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