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16352" w14:textId="2777737A" w:rsidR="009303D9" w:rsidRDefault="00BA101E" w:rsidP="00E165BC">
      <w:pPr>
        <w:pStyle w:val="papertitle"/>
        <w:spacing w:before="100" w:beforeAutospacing="1" w:after="100" w:afterAutospacing="1"/>
      </w:pPr>
      <w:r>
        <w:t>Blackwall: An integrated AI-driven Framework for proactive</w:t>
      </w:r>
      <w:r w:rsidR="00684896">
        <w:t xml:space="preserve"> Cybersecurity</w:t>
      </w:r>
      <w:r>
        <w:t xml:space="preserve"> Defense</w:t>
      </w:r>
    </w:p>
    <w:p w14:paraId="44D18998" w14:textId="77777777" w:rsidR="00D7522C" w:rsidRDefault="00D7522C" w:rsidP="00CA4392">
      <w:pPr>
        <w:pStyle w:val="Author"/>
        <w:spacing w:before="100" w:beforeAutospacing="1" w:after="100" w:afterAutospacing="1" w:line="120" w:lineRule="auto"/>
        <w:rPr>
          <w:sz w:val="16"/>
          <w:szCs w:val="16"/>
        </w:rPr>
      </w:pPr>
    </w:p>
    <w:p w14:paraId="2FE823D5" w14:textId="77777777" w:rsidR="00BA101E" w:rsidRPr="00CA4392" w:rsidRDefault="00BA101E" w:rsidP="00BA101E">
      <w:pPr>
        <w:pStyle w:val="Author"/>
        <w:spacing w:before="100" w:beforeAutospacing="1" w:after="100" w:afterAutospacing="1" w:line="120" w:lineRule="auto"/>
        <w:jc w:val="both"/>
        <w:rPr>
          <w:sz w:val="16"/>
          <w:szCs w:val="16"/>
        </w:rPr>
        <w:sectPr w:rsidR="00BA101E" w:rsidRPr="00CA4392" w:rsidSect="003B4E04">
          <w:footerReference w:type="first" r:id="rId8"/>
          <w:pgSz w:w="11906" w:h="16838" w:code="9"/>
          <w:pgMar w:top="540" w:right="893" w:bottom="1440" w:left="893" w:header="720" w:footer="720" w:gutter="0"/>
          <w:cols w:space="720"/>
          <w:titlePg/>
          <w:docGrid w:linePitch="360"/>
        </w:sectPr>
      </w:pPr>
    </w:p>
    <w:p w14:paraId="56703F64" w14:textId="08A76C14" w:rsidR="00BA101E" w:rsidRDefault="00BA101E" w:rsidP="009E0D57">
      <w:pPr>
        <w:pStyle w:val="Author"/>
        <w:spacing w:before="0"/>
        <w:rPr>
          <w:sz w:val="18"/>
          <w:szCs w:val="18"/>
        </w:rPr>
      </w:pPr>
      <w:r>
        <w:rPr>
          <w:sz w:val="18"/>
          <w:szCs w:val="18"/>
        </w:rPr>
        <w:t xml:space="preserve">Basil </w:t>
      </w:r>
      <w:r w:rsidR="00684896">
        <w:rPr>
          <w:sz w:val="18"/>
          <w:szCs w:val="18"/>
        </w:rPr>
        <w:t>A</w:t>
      </w:r>
      <w:r>
        <w:rPr>
          <w:sz w:val="18"/>
          <w:szCs w:val="18"/>
        </w:rPr>
        <w:t xml:space="preserve">bdullah </w:t>
      </w:r>
      <w:r w:rsidR="00684896">
        <w:rPr>
          <w:sz w:val="18"/>
          <w:szCs w:val="18"/>
        </w:rPr>
        <w:t>A</w:t>
      </w:r>
      <w:r>
        <w:rPr>
          <w:sz w:val="18"/>
          <w:szCs w:val="18"/>
        </w:rPr>
        <w:t>lzahrani</w:t>
      </w:r>
    </w:p>
    <w:p w14:paraId="374B07D5" w14:textId="685136C4" w:rsidR="007F407A" w:rsidRPr="007F407A" w:rsidRDefault="00BA101E" w:rsidP="007F407A">
      <w:pPr>
        <w:pStyle w:val="Author"/>
        <w:spacing w:before="0"/>
        <w:rPr>
          <w:sz w:val="18"/>
          <w:szCs w:val="18"/>
        </w:rPr>
      </w:pPr>
      <w:r>
        <w:rPr>
          <w:sz w:val="18"/>
          <w:szCs w:val="18"/>
        </w:rPr>
        <w:t xml:space="preserve">Department of Management </w:t>
      </w:r>
      <w:r w:rsidR="00684896">
        <w:rPr>
          <w:sz w:val="18"/>
          <w:szCs w:val="18"/>
        </w:rPr>
        <w:t>I</w:t>
      </w:r>
      <w:r>
        <w:rPr>
          <w:sz w:val="18"/>
          <w:szCs w:val="18"/>
        </w:rPr>
        <w:t xml:space="preserve">nformation </w:t>
      </w:r>
      <w:r w:rsidR="00684896">
        <w:rPr>
          <w:sz w:val="18"/>
          <w:szCs w:val="18"/>
        </w:rPr>
        <w:t>S</w:t>
      </w:r>
      <w:r>
        <w:rPr>
          <w:sz w:val="18"/>
          <w:szCs w:val="18"/>
        </w:rPr>
        <w:t>ystemAl-Baha university</w:t>
      </w:r>
      <w:r w:rsidR="001A3B3D" w:rsidRPr="00F847A6">
        <w:rPr>
          <w:i/>
          <w:sz w:val="18"/>
          <w:szCs w:val="18"/>
        </w:rPr>
        <w:br/>
      </w:r>
      <w:r>
        <w:rPr>
          <w:sz w:val="18"/>
          <w:szCs w:val="18"/>
        </w:rPr>
        <w:t>Al-Baha</w:t>
      </w:r>
      <w:r w:rsidR="009303D9" w:rsidRPr="00F847A6">
        <w:rPr>
          <w:sz w:val="18"/>
          <w:szCs w:val="18"/>
        </w:rPr>
        <w:t xml:space="preserve">, </w:t>
      </w:r>
      <w:r>
        <w:rPr>
          <w:sz w:val="18"/>
          <w:szCs w:val="18"/>
        </w:rPr>
        <w:t>Saudi Arabia</w:t>
      </w:r>
      <w:r w:rsidR="001A3B3D" w:rsidRPr="00F847A6">
        <w:rPr>
          <w:sz w:val="18"/>
          <w:szCs w:val="18"/>
        </w:rPr>
        <w:br/>
      </w:r>
      <w:hyperlink r:id="rId9" w:history="1">
        <w:r w:rsidR="007F407A" w:rsidRPr="00DF03AB">
          <w:rPr>
            <w:rStyle w:val="Hyperlink"/>
            <w:sz w:val="18"/>
            <w:szCs w:val="18"/>
          </w:rPr>
          <w:t>444019967@stu.bu.edu.sa</w:t>
        </w:r>
      </w:hyperlink>
      <w:r w:rsidR="007F407A">
        <w:rPr>
          <w:sz w:val="18"/>
          <w:szCs w:val="18"/>
        </w:rPr>
        <w:br/>
      </w:r>
      <w:r w:rsidR="007F407A" w:rsidRPr="007F407A">
        <w:rPr>
          <w:sz w:val="18"/>
          <w:szCs w:val="18"/>
        </w:rPr>
        <w:t>© Basil Abdullah Alzahrani, 2025.  This work is licensed under a Creative Commons Attribution 4.0 International License (CC BY 4.0).</w:t>
      </w:r>
    </w:p>
    <w:p w14:paraId="36FECECB" w14:textId="54783924" w:rsidR="007F407A" w:rsidRDefault="007F407A" w:rsidP="007F407A">
      <w:pPr>
        <w:pStyle w:val="Author"/>
        <w:spacing w:before="0"/>
        <w:rPr>
          <w:sz w:val="18"/>
          <w:szCs w:val="18"/>
        </w:rPr>
      </w:pPr>
      <w:r w:rsidRPr="007F407A">
        <w:rPr>
          <w:sz w:val="18"/>
          <w:szCs w:val="18"/>
        </w:rPr>
        <w:t>https://creativecommons.org/licenses/by/4.0/</w:t>
      </w:r>
    </w:p>
    <w:p w14:paraId="3B9D22EC" w14:textId="5F37A4DE" w:rsidR="00BA101E" w:rsidRDefault="00BD670B" w:rsidP="00BA101E">
      <w:pPr>
        <w:pStyle w:val="Author"/>
        <w:spacing w:before="100" w:beforeAutospacing="1"/>
        <w:rPr>
          <w:sz w:val="18"/>
          <w:szCs w:val="18"/>
        </w:rPr>
      </w:pPr>
      <w:r>
        <w:rPr>
          <w:sz w:val="18"/>
          <w:szCs w:val="18"/>
        </w:rPr>
        <w:br w:type="column"/>
      </w:r>
      <w:r w:rsidR="00BA101E">
        <w:rPr>
          <w:sz w:val="18"/>
          <w:szCs w:val="18"/>
        </w:rPr>
        <w:t xml:space="preserve"> </w:t>
      </w:r>
    </w:p>
    <w:p w14:paraId="2C4F90B5" w14:textId="4F7F2F6A" w:rsidR="009303D9" w:rsidRPr="005B520E" w:rsidRDefault="00BD670B" w:rsidP="00BA101E">
      <w:pPr>
        <w:pStyle w:val="Author"/>
        <w:spacing w:before="100" w:beforeAutospacing="1"/>
        <w:sectPr w:rsidR="009303D9" w:rsidRPr="005B520E" w:rsidSect="003B4E04">
          <w:type w:val="continuous"/>
          <w:pgSz w:w="11906" w:h="16838" w:code="9"/>
          <w:pgMar w:top="450" w:right="893" w:bottom="1440" w:left="893" w:header="720" w:footer="720" w:gutter="0"/>
          <w:cols w:num="3" w:space="720"/>
          <w:docGrid w:linePitch="360"/>
        </w:sectPr>
      </w:pPr>
      <w:r>
        <w:rPr>
          <w:sz w:val="18"/>
          <w:szCs w:val="18"/>
        </w:rPr>
        <w:br w:type="column"/>
      </w:r>
    </w:p>
    <w:p w14:paraId="1BF8D515" w14:textId="77777777" w:rsidR="00BA101E" w:rsidRPr="00D854B6" w:rsidRDefault="009303D9" w:rsidP="00BA101E">
      <w:pPr>
        <w:pStyle w:val="Abstract"/>
        <w:rPr>
          <w:b w:val="0"/>
          <w:bCs w:val="0"/>
        </w:rPr>
      </w:pPr>
      <w:r w:rsidRPr="00D854B6">
        <w:rPr>
          <w:b w:val="0"/>
          <w:bCs w:val="0"/>
          <w:i/>
          <w:iCs/>
        </w:rPr>
        <w:t>Abstract</w:t>
      </w:r>
      <w:r w:rsidRPr="00D854B6">
        <w:rPr>
          <w:b w:val="0"/>
          <w:bCs w:val="0"/>
        </w:rPr>
        <w:t>—</w:t>
      </w:r>
      <w:r w:rsidR="00BA101E" w:rsidRPr="00D854B6">
        <w:rPr>
          <w:b w:val="0"/>
          <w:bCs w:val="0"/>
          <w:sz w:val="20"/>
          <w:szCs w:val="20"/>
        </w:rPr>
        <w:t xml:space="preserve"> </w:t>
      </w:r>
      <w:r w:rsidR="00BA101E" w:rsidRPr="00D854B6">
        <w:rPr>
          <w:b w:val="0"/>
          <w:bCs w:val="0"/>
        </w:rPr>
        <w:t>Modern cybersecurity threats such as AI-driven attacks and zero-day exploits are overwhelming traditional defense systems that rely on static signatures or predefined rules. This paper introduces BlackWall, an integrated AI-driven framework for proactive cybersecurity defense. BlackWall consists of three core components: the Reverse Zero-day Algorithm (RZA) for autonomous vulnerability discovery, the Zero-Trust Verification Module (TVM) for continuous trust evaluation, and the False Positive Protocol (FPP), a deception-based system designed to mislead attackers and reduce false alerts. These modules operate independently but coordinate through a secure signal bus, enabling rapid response, resilience, and adaptive defense. In simulated attack scenarios, BlackWall improved detection accuracy by 37%, reduced response time by 82%, and cut false positives by 74% compared to traditional intrusion detection systems. These results demonstrate that BlackWall can serve as a robust foundation for next-generation, autonomous cybersecurity architectures.</w:t>
      </w:r>
    </w:p>
    <w:p w14:paraId="61BCE310" w14:textId="77777777" w:rsidR="00BA101E" w:rsidRPr="00D854B6" w:rsidRDefault="004D72B5" w:rsidP="00BA101E">
      <w:pPr>
        <w:pStyle w:val="Abstract"/>
        <w:rPr>
          <w:b w:val="0"/>
          <w:bCs w:val="0"/>
        </w:rPr>
      </w:pPr>
      <w:r w:rsidRPr="00D854B6">
        <w:rPr>
          <w:b w:val="0"/>
          <w:bCs w:val="0"/>
        </w:rPr>
        <w:t>Keywords—</w:t>
      </w:r>
      <w:r w:rsidR="00BA101E" w:rsidRPr="00D854B6">
        <w:rPr>
          <w:b w:val="0"/>
          <w:bCs w:val="0"/>
          <w:sz w:val="20"/>
          <w:szCs w:val="20"/>
        </w:rPr>
        <w:t xml:space="preserve"> </w:t>
      </w:r>
      <w:r w:rsidR="00BA101E" w:rsidRPr="00D854B6">
        <w:rPr>
          <w:b w:val="0"/>
          <w:bCs w:val="0"/>
        </w:rPr>
        <w:t xml:space="preserve">Cybersecurity, artificial intelligence, zero-day vulnerabilities, zero-trust architecture, deception systems, intrusion detection. </w:t>
      </w:r>
    </w:p>
    <w:p w14:paraId="4447EA34" w14:textId="040EB3B1" w:rsidR="00684896" w:rsidRDefault="00684896" w:rsidP="00684896">
      <w:pPr>
        <w:pStyle w:val="Heading1"/>
      </w:pPr>
      <w:bookmarkStart w:id="0" w:name="_Hlk201582051"/>
      <w:r>
        <w:t>INTRODUCTION</w:t>
      </w:r>
    </w:p>
    <w:p w14:paraId="7AF8519D" w14:textId="1FC2817D" w:rsidR="009303D9" w:rsidRDefault="00482B0C" w:rsidP="00684896">
      <w:pPr>
        <w:pStyle w:val="BodyText"/>
        <w:ind w:left="288" w:firstLine="0"/>
      </w:pPr>
      <w:r>
        <w:t>Traditional cybersecurity systems struggle against modern threats such as zero-day exploits, ai-driven attacks, and adaptive malware. Static rule-based defenses are no longer sufficient in dynamic environments where speed and deception are critical. We purpose BlackWall, an integrated AI-driven Framework that addresses detection, containment, and deception in real time. It consists of three main modules:</w:t>
      </w:r>
    </w:p>
    <w:p w14:paraId="69F01D78" w14:textId="70DA2FB4" w:rsidR="00482B0C" w:rsidRDefault="00353634" w:rsidP="00482B0C">
      <w:pPr>
        <w:pStyle w:val="BodyText"/>
        <w:numPr>
          <w:ilvl w:val="0"/>
          <w:numId w:val="26"/>
        </w:numPr>
      </w:pPr>
      <w:r>
        <w:t xml:space="preserve">  </w:t>
      </w:r>
      <w:r w:rsidR="00482B0C">
        <w:t>RZA</w:t>
      </w:r>
      <w:r>
        <w:t>—Reverse Zero-day algorithm for preemptive vulnerability detection</w:t>
      </w:r>
    </w:p>
    <w:p w14:paraId="615E3EAE" w14:textId="37312E08" w:rsidR="00353634" w:rsidRDefault="00353634" w:rsidP="00353634">
      <w:pPr>
        <w:pStyle w:val="BodyText"/>
        <w:numPr>
          <w:ilvl w:val="0"/>
          <w:numId w:val="26"/>
        </w:numPr>
      </w:pPr>
      <w:r>
        <w:t>TVM—Zero-trust Verification Module for identity and access control.</w:t>
      </w:r>
    </w:p>
    <w:p w14:paraId="5834DA29" w14:textId="48D66DA3" w:rsidR="00353634" w:rsidRDefault="00353634" w:rsidP="00353634">
      <w:pPr>
        <w:pStyle w:val="BodyText"/>
        <w:numPr>
          <w:ilvl w:val="0"/>
          <w:numId w:val="26"/>
        </w:numPr>
      </w:pPr>
      <w:r>
        <w:t>FPP-False Positive Protocol for deception and alert refinement.</w:t>
      </w:r>
    </w:p>
    <w:p w14:paraId="734CC126" w14:textId="450335ED" w:rsidR="00D854B6" w:rsidRDefault="00D854B6" w:rsidP="00D854B6">
      <w:pPr>
        <w:pStyle w:val="BodyText"/>
        <w:ind w:left="576" w:firstLine="0"/>
      </w:pPr>
      <w:r>
        <w:t>These components communicate through a secure signal layer and operate autonomously or in tandem.</w:t>
      </w:r>
    </w:p>
    <w:p w14:paraId="401F86EA" w14:textId="24CDA7CC" w:rsidR="00D854B6" w:rsidRDefault="00D854B6" w:rsidP="00D854B6">
      <w:pPr>
        <w:pStyle w:val="BodyText"/>
        <w:ind w:left="576" w:firstLine="0"/>
      </w:pPr>
      <w:r>
        <w:t>Contributions:</w:t>
      </w:r>
    </w:p>
    <w:p w14:paraId="3A88C8E5" w14:textId="327555D7" w:rsidR="00D854B6" w:rsidRDefault="00D854B6" w:rsidP="005D66E6">
      <w:pPr>
        <w:pStyle w:val="BodyText"/>
        <w:numPr>
          <w:ilvl w:val="0"/>
          <w:numId w:val="27"/>
        </w:numPr>
        <w:spacing w:line="240" w:lineRule="auto"/>
      </w:pPr>
      <w:r>
        <w:t>A modular cybersecurity framework combining detection, trust enforcement, and deception</w:t>
      </w:r>
    </w:p>
    <w:p w14:paraId="5216F52F" w14:textId="235EEA8D" w:rsidR="00D854B6" w:rsidRDefault="00D854B6" w:rsidP="005D66E6">
      <w:pPr>
        <w:pStyle w:val="BodyText"/>
        <w:numPr>
          <w:ilvl w:val="0"/>
          <w:numId w:val="27"/>
        </w:numPr>
        <w:spacing w:line="240" w:lineRule="auto"/>
      </w:pPr>
      <w:r>
        <w:t>A novel algorithm (RZA) for identifying unknown vulnerabilities before adversaries can exploit them.</w:t>
      </w:r>
    </w:p>
    <w:p w14:paraId="225194F7" w14:textId="07EEB638" w:rsidR="00D854B6" w:rsidRPr="005B520E" w:rsidRDefault="00D854B6" w:rsidP="005D66E6">
      <w:pPr>
        <w:pStyle w:val="BodyText"/>
        <w:numPr>
          <w:ilvl w:val="0"/>
          <w:numId w:val="27"/>
        </w:numPr>
        <w:spacing w:line="240" w:lineRule="auto"/>
      </w:pPr>
      <w:r>
        <w:t xml:space="preserve">A deception-based mechanism (FPP) to reduce false alarms, gathering information while quarantining the adversary, and lure </w:t>
      </w:r>
      <w:r w:rsidR="00A73888">
        <w:t>adversaries.</w:t>
      </w:r>
      <w:r>
        <w:t xml:space="preserve"> </w:t>
      </w:r>
    </w:p>
    <w:p w14:paraId="235FDC90" w14:textId="2B4B754A" w:rsidR="009303D9" w:rsidRPr="006B6B66" w:rsidRDefault="0071267A" w:rsidP="0071267A">
      <w:pPr>
        <w:pStyle w:val="Heading1"/>
      </w:pPr>
      <w:r w:rsidRPr="0071267A">
        <w:t>Literature Review and Related Work</w:t>
      </w:r>
    </w:p>
    <w:p w14:paraId="3F178431" w14:textId="184BE339" w:rsidR="009303D9" w:rsidRDefault="00A73888" w:rsidP="00E7596C">
      <w:pPr>
        <w:pStyle w:val="BodyText"/>
      </w:pPr>
      <w:r>
        <w:t>Traditional intrusion detection systems (IDS) such as snort [1] and Suricata [2] rely on predefined rules and signature matching. While effective against known threats, they fail to detect zero-day exploits and adaptive attacks that evolve beyond static patterns.</w:t>
      </w:r>
    </w:p>
    <w:p w14:paraId="11CF565E" w14:textId="6F1DC0B7" w:rsidR="00A73888" w:rsidRDefault="00A73888" w:rsidP="00A73888">
      <w:pPr>
        <w:pStyle w:val="BodyText"/>
        <w:ind w:firstLine="0"/>
      </w:pPr>
      <w:r>
        <w:t xml:space="preserve">While Machine learning-based approaches emerged to address these gaps. Works such as [3] and [4] apply anomaly detection to network, but suffer from high false positive rates and limited response capabilities. Other studies including [5], integrated AI for threats classifications, yet lack modularity and real-time containment mechanisms. </w:t>
      </w:r>
    </w:p>
    <w:p w14:paraId="6E9B0014" w14:textId="48CE9623" w:rsidR="00A73888" w:rsidRDefault="00A73888" w:rsidP="00A73888">
      <w:pPr>
        <w:pStyle w:val="BodyText"/>
        <w:ind w:firstLine="0"/>
      </w:pPr>
      <w:r>
        <w:t>Zero-trust Framework [6] emphasize strict identity verification but typically do not include active threat detection or deception layers. Meanwhile, deception-based systems such as honeypots [7] have shown promise in diverting attackers but remain isolated from broader security architectures.</w:t>
      </w:r>
    </w:p>
    <w:p w14:paraId="3873200D" w14:textId="20DC2749" w:rsidR="00A73888" w:rsidRPr="005B520E" w:rsidRDefault="00A73888" w:rsidP="00A73888">
      <w:pPr>
        <w:pStyle w:val="BodyText"/>
        <w:ind w:firstLine="0"/>
      </w:pPr>
      <w:r>
        <w:t xml:space="preserve">BlackWall differentiates itself by integrating </w:t>
      </w:r>
      <w:r w:rsidR="005D66E6">
        <w:t>internal fuzzing (RZA), verification (TVM), and deception (FPP) into a cohesive modular framework. Unlike prior work, it enables the autonomous decision-making, adaptive response, and real-time containment – addressing gaps in precision, speed, and architectural integration.</w:t>
      </w:r>
    </w:p>
    <w:p w14:paraId="3B6A1E69" w14:textId="220CCEA8" w:rsidR="009303D9" w:rsidRDefault="00A67E51" w:rsidP="006B6B66">
      <w:pPr>
        <w:pStyle w:val="Heading1"/>
      </w:pPr>
      <w:r>
        <w:t xml:space="preserve">SYSTEM ARCHITECTURE </w:t>
      </w:r>
    </w:p>
    <w:p w14:paraId="711D844C" w14:textId="7F26B68D" w:rsidR="00D7522C" w:rsidRDefault="00A67E51" w:rsidP="00CB4888">
      <w:pPr>
        <w:pStyle w:val="BodyText"/>
        <w:ind w:firstLine="0"/>
      </w:pPr>
      <w:r>
        <w:t>BlackWall is designed as a modular, AI-driven cybersecurity framework composed of three core components:</w:t>
      </w:r>
    </w:p>
    <w:p w14:paraId="39B0356B" w14:textId="1AA660DC" w:rsidR="00A67E51" w:rsidRPr="00CB4888" w:rsidRDefault="00A67E51" w:rsidP="00CB4888">
      <w:pPr>
        <w:pStyle w:val="Heading2"/>
        <w:rPr>
          <w:rStyle w:val="Emphasis"/>
        </w:rPr>
      </w:pPr>
      <w:r w:rsidRPr="00CB4888">
        <w:rPr>
          <w:rStyle w:val="Emphasis"/>
        </w:rPr>
        <w:lastRenderedPageBreak/>
        <w:t xml:space="preserve">reverse zero-day algorithm (rza): Predicts and flags unknown vulnerabilities by analyzing </w:t>
      </w:r>
      <w:r w:rsidR="008B2C9C">
        <w:rPr>
          <w:rStyle w:val="Emphasis"/>
        </w:rPr>
        <w:t>anomaly</w:t>
      </w:r>
      <w:r w:rsidRPr="00CB4888">
        <w:rPr>
          <w:rStyle w:val="Emphasis"/>
        </w:rPr>
        <w:t xml:space="preserve"> behavior patterns and pre-exploit indicators.</w:t>
      </w:r>
    </w:p>
    <w:p w14:paraId="16EF08D7" w14:textId="1514AAE3" w:rsidR="00A67E51" w:rsidRPr="00CB4888" w:rsidRDefault="00A67E51" w:rsidP="00E35E88">
      <w:pPr>
        <w:pStyle w:val="Heading2"/>
        <w:rPr>
          <w:rStyle w:val="Emphasis"/>
        </w:rPr>
      </w:pPr>
      <w:r w:rsidRPr="00CB4888">
        <w:rPr>
          <w:rStyle w:val="Emphasis"/>
        </w:rPr>
        <w:t xml:space="preserve">zero-trust </w:t>
      </w:r>
      <w:r w:rsidR="00E35E88" w:rsidRPr="00E35E88">
        <w:rPr>
          <w:i w:val="0"/>
          <w:iCs w:val="0"/>
        </w:rPr>
        <w:t>verification</w:t>
      </w:r>
      <w:r w:rsidR="00E35E88">
        <w:rPr>
          <w:i w:val="0"/>
          <w:iCs w:val="0"/>
        </w:rPr>
        <w:t xml:space="preserve"> </w:t>
      </w:r>
      <w:r w:rsidRPr="00CB4888">
        <w:rPr>
          <w:rStyle w:val="Emphasis"/>
        </w:rPr>
        <w:t xml:space="preserve">Module (tvm): continuously validates user and device </w:t>
      </w:r>
      <w:r w:rsidR="00E35E88">
        <w:rPr>
          <w:rStyle w:val="Emphasis"/>
        </w:rPr>
        <w:t>authenticity </w:t>
      </w:r>
      <w:r w:rsidRPr="00CB4888">
        <w:rPr>
          <w:rStyle w:val="Emphasis"/>
        </w:rPr>
        <w:t>using contextual data and policy-driven access rules.</w:t>
      </w:r>
    </w:p>
    <w:p w14:paraId="550B53B1" w14:textId="5DE9E908" w:rsidR="00A67E51" w:rsidRPr="00CB4888" w:rsidRDefault="00A67E51" w:rsidP="00CB4888">
      <w:pPr>
        <w:pStyle w:val="Heading2"/>
        <w:rPr>
          <w:rStyle w:val="Emphasis"/>
        </w:rPr>
      </w:pPr>
      <w:r w:rsidRPr="00CB4888">
        <w:rPr>
          <w:rStyle w:val="Emphasis"/>
        </w:rPr>
        <w:t xml:space="preserve">false positive protocol (fpp): employs deception and </w:t>
      </w:r>
      <w:r w:rsidR="00E35E88">
        <w:rPr>
          <w:rStyle w:val="Emphasis"/>
        </w:rPr>
        <w:t>behavioral </w:t>
      </w:r>
      <w:r w:rsidRPr="00CB4888">
        <w:rPr>
          <w:rStyle w:val="Emphasis"/>
        </w:rPr>
        <w:t xml:space="preserve">traps to reduce false alerts while </w:t>
      </w:r>
      <w:r w:rsidR="00E35E88" w:rsidRPr="00E35E88">
        <w:rPr>
          <w:rStyle w:val="Emphasis"/>
        </w:rPr>
        <w:t xml:space="preserve">disorienting </w:t>
      </w:r>
      <w:r w:rsidRPr="00CB4888">
        <w:rPr>
          <w:rStyle w:val="Emphasis"/>
        </w:rPr>
        <w:t>potential intruders.</w:t>
      </w:r>
    </w:p>
    <w:p w14:paraId="1A61353D" w14:textId="48F55D98" w:rsidR="00A67E51" w:rsidRDefault="00A67E51" w:rsidP="00A67E51">
      <w:pPr>
        <w:jc w:val="both"/>
      </w:pPr>
      <w:r>
        <w:t xml:space="preserve">Each module is deployed </w:t>
      </w:r>
      <w:r w:rsidR="00CB4888">
        <w:t>independently but interconnected via a secure Signal bus, which acts as an encrypted, low-latency communications channel between subsystems. This design allows for adaptive collaboration: for instance, a detection by RZA can trigger validation by TVM or initiate a decoy response from FPP.</w:t>
      </w:r>
    </w:p>
    <w:p w14:paraId="3CF89458" w14:textId="0D75E807" w:rsidR="00CB4888" w:rsidRDefault="00CB4888" w:rsidP="00CB4888">
      <w:pPr>
        <w:jc w:val="both"/>
      </w:pPr>
      <w:r>
        <w:t xml:space="preserve">Additionally, the modular nature of BlackWall enables plug-and-play functionality, cloud or on-premises deployments, the ability to scale or isolate components as needed. The         </w:t>
      </w:r>
      <w:bookmarkEnd w:id="0"/>
      <w:r>
        <w:t>architecture supports both live mode (real-time defense) and forensic mode (incident reconstruction).</w:t>
      </w:r>
    </w:p>
    <w:p w14:paraId="30F147C6" w14:textId="23090E7E" w:rsidR="00CB4888" w:rsidRDefault="00CB4888" w:rsidP="00CB4888">
      <w:pPr>
        <w:jc w:val="both"/>
      </w:pPr>
      <w:r>
        <w:t>Figure 1 illustrates the overall structure and interactions between modules.</w:t>
      </w:r>
    </w:p>
    <w:p w14:paraId="06FDE1C4" w14:textId="37134E95" w:rsidR="009303D9" w:rsidRPr="00D24A7F" w:rsidRDefault="00CB4888" w:rsidP="00D24A7F">
      <w:pPr>
        <w:pStyle w:val="Heading2"/>
      </w:pPr>
      <w:r>
        <w:t xml:space="preserve">The interactions between modules can be expressed through detection and trust threshold. For example, if anomaly score </w:t>
      </w:r>
      <w:r>
        <w:rPr>
          <w:rStyle w:val="katex-mathml"/>
        </w:rPr>
        <w:t>δ(t) from RZA</w:t>
      </w:r>
      <w:r w:rsidR="00CB4861">
        <w:rPr>
          <w:rStyle w:val="katex-mathml"/>
        </w:rPr>
        <w:t xml:space="preserve"> exceeds</w:t>
      </w:r>
      <w:r>
        <w:rPr>
          <w:rStyle w:val="katex-mathml"/>
        </w:rPr>
        <w:t xml:space="preserve"> its threshold, it triggers a call to TVM for trust validation. If the resulting </w:t>
      </w:r>
      <w:r w:rsidR="000D15B8">
        <w:rPr>
          <w:rStyle w:val="katex-mathml"/>
        </w:rPr>
        <w:t>trust T(</w:t>
      </w:r>
      <w:r w:rsidR="000D15B8" w:rsidRPr="000D15B8">
        <w:t>u,c</w:t>
      </w:r>
      <w:r w:rsidR="000D15B8">
        <w:t xml:space="preserve">) is below the minimum threshold </w:t>
      </w:r>
      <w:r w:rsidR="000D15B8" w:rsidRPr="000D15B8">
        <w:t>τ</w:t>
      </w:r>
      <w:r w:rsidR="000D15B8">
        <w:t xml:space="preserve">, FPP engages to deploy a deception response. This logical flow allows </w:t>
      </w:r>
      <w:r w:rsidR="00E35E88" w:rsidRPr="00E35E88">
        <w:t xml:space="preserve">autonomous </w:t>
      </w:r>
      <w:r w:rsidR="000D15B8">
        <w:t xml:space="preserve"> </w:t>
      </w:r>
      <w:r w:rsidR="00E35E88">
        <w:t>collaboration</w:t>
      </w:r>
      <w:r w:rsidR="000D15B8">
        <w:t xml:space="preserve"> without hardcoded rules.</w:t>
      </w:r>
      <w:r w:rsidR="00E871DE">
        <w:t xml:space="preserve"> In short, it can be explained like this:</w:t>
      </w:r>
      <w:r w:rsidR="009303D9" w:rsidRPr="005B520E">
        <w:tab/>
      </w:r>
      <w:r w:rsidR="00D24A7F">
        <w:rPr>
          <w:rFonts w:hint="eastAsia"/>
        </w:rPr>
        <w:br/>
      </w:r>
      <m:oMathPara>
        <m:oMathParaPr>
          <m:jc m:val="center"/>
        </m:oMathParaPr>
        <m:oMath>
          <m:r>
            <w:rPr>
              <w:rFonts w:ascii="Cambria Math" w:hAnsi="Cambria Math"/>
              <w:sz w:val="14"/>
              <w:szCs w:val="14"/>
            </w:rPr>
            <m:t>Y=</m:t>
          </m:r>
          <m:d>
            <m:dPr>
              <m:begChr m:val="{"/>
              <m:endChr m:val=""/>
              <m:ctrlPr>
                <w:rPr>
                  <w:rFonts w:ascii="Cambria Math" w:hAnsi="Cambria Math" w:cs="Symbol"/>
                  <w:noProof w:val="0"/>
                  <w:sz w:val="14"/>
                  <w:szCs w:val="14"/>
                </w:rPr>
              </m:ctrlPr>
            </m:dPr>
            <m:e>
              <m:eqArr>
                <m:eqArrPr>
                  <m:ctrlPr>
                    <w:rPr>
                      <w:rFonts w:ascii="Cambria Math" w:hAnsi="Cambria Math" w:cs="Symbol"/>
                      <w:noProof w:val="0"/>
                      <w:sz w:val="14"/>
                      <w:szCs w:val="14"/>
                    </w:rPr>
                  </m:ctrlPr>
                </m:eqArrPr>
                <m:e>
                  <m:r>
                    <w:rPr>
                      <w:rFonts w:ascii="Cambria Math" w:hAnsi="Cambria Math"/>
                      <w:sz w:val="14"/>
                      <w:szCs w:val="14"/>
                    </w:rPr>
                    <m:t>Block+deceive,ifδ</m:t>
                  </m:r>
                  <m:d>
                    <m:dPr>
                      <m:ctrlPr>
                        <w:rPr>
                          <w:rFonts w:ascii="Cambria Math" w:hAnsi="Cambria Math"/>
                          <w:sz w:val="14"/>
                          <w:szCs w:val="14"/>
                        </w:rPr>
                      </m:ctrlPr>
                    </m:dPr>
                    <m:e>
                      <m:r>
                        <w:rPr>
                          <w:rFonts w:ascii="Cambria Math" w:hAnsi="Cambria Math"/>
                          <w:sz w:val="14"/>
                          <w:szCs w:val="14"/>
                        </w:rPr>
                        <m:t>t</m:t>
                      </m:r>
                    </m:e>
                  </m:d>
                  <m:r>
                    <w:rPr>
                      <w:rFonts w:ascii="Cambria Math" w:hAnsi="Cambria Math"/>
                      <w:sz w:val="14"/>
                      <w:szCs w:val="14"/>
                    </w:rPr>
                    <m:t>&gt;μ+ kσ and T</m:t>
                  </m:r>
                  <m:d>
                    <m:dPr>
                      <m:ctrlPr>
                        <w:rPr>
                          <w:rFonts w:ascii="Cambria Math" w:hAnsi="Cambria Math"/>
                          <w:sz w:val="14"/>
                          <w:szCs w:val="14"/>
                        </w:rPr>
                      </m:ctrlPr>
                    </m:dPr>
                    <m:e>
                      <m:r>
                        <w:rPr>
                          <w:rFonts w:ascii="Cambria Math" w:hAnsi="Cambria Math"/>
                          <w:sz w:val="14"/>
                          <w:szCs w:val="14"/>
                        </w:rPr>
                        <m:t>u,c</m:t>
                      </m:r>
                    </m:e>
                  </m:d>
                  <m:r>
                    <w:rPr>
                      <w:rFonts w:ascii="Cambria Math" w:hAnsi="Cambria Math"/>
                      <w:sz w:val="14"/>
                      <w:szCs w:val="14"/>
                    </w:rPr>
                    <m:t>&lt;τ and F</m:t>
                  </m:r>
                  <m:d>
                    <m:dPr>
                      <m:ctrlPr>
                        <w:rPr>
                          <w:rFonts w:ascii="Cambria Math" w:hAnsi="Cambria Math"/>
                          <w:sz w:val="14"/>
                          <w:szCs w:val="14"/>
                        </w:rPr>
                      </m:ctrlPr>
                    </m:dPr>
                    <m:e>
                      <m:r>
                        <w:rPr>
                          <w:rFonts w:ascii="Cambria Math" w:hAnsi="Cambria Math"/>
                          <w:sz w:val="14"/>
                          <w:szCs w:val="14"/>
                        </w:rPr>
                        <m:t>x</m:t>
                      </m:r>
                    </m:e>
                  </m:d>
                  <m:r>
                    <w:rPr>
                      <w:rFonts w:ascii="Cambria Math" w:hAnsi="Cambria Math"/>
                      <w:sz w:val="14"/>
                      <w:szCs w:val="14"/>
                    </w:rPr>
                    <m:t>&gt;θ</m:t>
                  </m:r>
                </m:e>
                <m:e>
                  <m:r>
                    <w:rPr>
                      <w:rFonts w:ascii="Cambria Math" w:hAnsi="Cambria Math" w:cs="Symbol"/>
                      <w:noProof w:val="0"/>
                      <w:sz w:val="14"/>
                      <w:szCs w:val="14"/>
                    </w:rPr>
                    <m:t xml:space="preserve">Monitor, </m:t>
                  </m:r>
                  <m:r>
                    <w:rPr>
                      <w:rFonts w:ascii="Cambria Math" w:hAnsi="Cambria Math"/>
                      <w:sz w:val="14"/>
                      <w:szCs w:val="14"/>
                    </w:rPr>
                    <m:t>ifδ</m:t>
                  </m:r>
                  <m:d>
                    <m:dPr>
                      <m:ctrlPr>
                        <w:rPr>
                          <w:rFonts w:ascii="Cambria Math" w:hAnsi="Cambria Math"/>
                          <w:sz w:val="14"/>
                          <w:szCs w:val="14"/>
                        </w:rPr>
                      </m:ctrlPr>
                    </m:dPr>
                    <m:e>
                      <m:r>
                        <w:rPr>
                          <w:rFonts w:ascii="Cambria Math" w:hAnsi="Cambria Math"/>
                          <w:sz w:val="14"/>
                          <w:szCs w:val="14"/>
                        </w:rPr>
                        <m:t>t</m:t>
                      </m:r>
                    </m:e>
                  </m:d>
                  <m:r>
                    <w:rPr>
                      <w:rFonts w:ascii="Cambria Math" w:hAnsi="Cambria Math"/>
                      <w:sz w:val="14"/>
                      <w:szCs w:val="14"/>
                    </w:rPr>
                    <m:t>&gt;μ+ kσ and T(u,c)≥τ</m:t>
                  </m:r>
                </m:e>
                <m:e>
                  <m:r>
                    <w:rPr>
                      <w:rFonts w:ascii="Cambria Math" w:hAnsi="Cambria Math"/>
                      <w:sz w:val="14"/>
                      <w:szCs w:val="14"/>
                    </w:rPr>
                    <m:t>Allow, if δ</m:t>
                  </m:r>
                  <m:d>
                    <m:dPr>
                      <m:ctrlPr>
                        <w:rPr>
                          <w:rFonts w:ascii="Cambria Math" w:hAnsi="Cambria Math"/>
                          <w:sz w:val="14"/>
                          <w:szCs w:val="14"/>
                        </w:rPr>
                      </m:ctrlPr>
                    </m:dPr>
                    <m:e>
                      <m:r>
                        <w:rPr>
                          <w:rFonts w:ascii="Cambria Math" w:hAnsi="Cambria Math"/>
                          <w:sz w:val="14"/>
                          <w:szCs w:val="14"/>
                        </w:rPr>
                        <m:t>t</m:t>
                      </m:r>
                    </m:e>
                  </m:d>
                  <m:r>
                    <w:rPr>
                      <w:rFonts w:ascii="Cambria Math" w:hAnsi="Cambria Math"/>
                      <w:sz w:val="14"/>
                      <w:szCs w:val="14"/>
                    </w:rPr>
                    <m:t>≤μ+κσ</m:t>
                  </m:r>
                </m:e>
              </m:eqArr>
            </m:e>
          </m:d>
        </m:oMath>
      </m:oMathPara>
    </w:p>
    <w:p w14:paraId="05264586" w14:textId="4C297CC3" w:rsidR="009303D9" w:rsidRDefault="00E35E88" w:rsidP="00ED0149">
      <w:pPr>
        <w:pStyle w:val="Heading2"/>
      </w:pPr>
      <w:r>
        <w:t>Modular Workflow Execution</w:t>
      </w:r>
    </w:p>
    <w:p w14:paraId="62E30B68" w14:textId="77917888" w:rsidR="009303D9" w:rsidRDefault="00E35E88" w:rsidP="00E35E88">
      <w:pPr>
        <w:pStyle w:val="bulletlist"/>
        <w:numPr>
          <w:ilvl w:val="0"/>
          <w:numId w:val="0"/>
        </w:numPr>
        <w:ind w:left="288"/>
      </w:pPr>
      <w:r>
        <w:t>BlackWall’s architecture is intentionally modular, enabling flexible deployment in diverse environments such as security operation centers (SOCS), enterprise firewalls</w:t>
      </w:r>
      <w:r w:rsidR="00122C04">
        <w:t xml:space="preserve">, or cloud-native platforms. The system does not rely on tight coupling between components, allowing RZA, TVM, and FPP to be run independently or chained in real time depending on the use case. This </w:t>
      </w:r>
      <w:r w:rsidR="00122C04" w:rsidRPr="00122C04">
        <w:t>Modularity</w:t>
      </w:r>
      <w:r w:rsidR="00122C04">
        <w:t xml:space="preserve"> supports on-premise, hybrid and remote deployments.</w:t>
      </w:r>
    </w:p>
    <w:p w14:paraId="39A1E59C" w14:textId="385E69CA" w:rsidR="00122C04" w:rsidRDefault="00122C04" w:rsidP="00E35E88">
      <w:pPr>
        <w:pStyle w:val="bulletlist"/>
        <w:numPr>
          <w:ilvl w:val="0"/>
          <w:numId w:val="0"/>
        </w:numPr>
        <w:ind w:left="288"/>
      </w:pPr>
      <w:r>
        <w:t>Each module exposes an input-output interface, forming a pipeline where outputs from one layer are consumed by the next. For example, anomaly signals from RZA can be routed into a containerized TVM instance running zero-trust policies based on behavioral context. The final threat confirmation and deception logic in FPP can then respond accordingly, either by triggering honeypots, isolation sessions or escalating to human analysts.</w:t>
      </w:r>
    </w:p>
    <w:p w14:paraId="2DD0E6F1" w14:textId="2A174A3C" w:rsidR="00122C04" w:rsidRPr="005B520E" w:rsidRDefault="00122C04" w:rsidP="009F2FAC">
      <w:pPr>
        <w:pStyle w:val="bulletlist"/>
        <w:numPr>
          <w:ilvl w:val="0"/>
          <w:numId w:val="0"/>
        </w:numPr>
        <w:ind w:left="288"/>
      </w:pPr>
      <w:r>
        <w:t>This modular execution not only enables scalability, but also facilitates maintainability, upgrades, and tuning of thresholds (</w:t>
      </w:r>
      <m:oMath>
        <m:r>
          <w:rPr>
            <w:rFonts w:ascii="Cambria Math" w:hAnsi="Cambria Math"/>
          </w:rPr>
          <m:t>μ,</m:t>
        </m:r>
        <m:r>
          <w:rPr>
            <w:rFonts w:ascii="Cambria Math" w:hAnsi="Cambria Math"/>
            <w:lang w:val="en-US"/>
          </w:rPr>
          <m:t>τ</m:t>
        </m:r>
        <m:r>
          <w:rPr>
            <w:rFonts w:ascii="Cambria Math" w:hAnsi="Cambria Math"/>
          </w:rPr>
          <m:t>,</m:t>
        </m:r>
        <m:r>
          <w:rPr>
            <w:rFonts w:ascii="Cambria Math" w:hAnsi="Cambria Math"/>
            <w:lang w:val="en-US"/>
          </w:rPr>
          <m:t>θ)</m:t>
        </m:r>
      </m:oMath>
      <w:r w:rsidR="009F2FAC">
        <w:rPr>
          <w:lang w:val="en-US"/>
        </w:rPr>
        <w:t xml:space="preserve"> without needing to halt the system.</w:t>
      </w:r>
    </w:p>
    <w:p w14:paraId="272FE619" w14:textId="6ECE6ECE" w:rsidR="009303D9" w:rsidRDefault="00625541" w:rsidP="006B6B66">
      <w:pPr>
        <w:pStyle w:val="Heading1"/>
      </w:pPr>
      <w:r>
        <w:t>Evaluation</w:t>
      </w:r>
    </w:p>
    <w:p w14:paraId="739B0AAC" w14:textId="753E5ACB" w:rsidR="009303D9" w:rsidRPr="005B520E" w:rsidRDefault="00625541" w:rsidP="008B2C9C">
      <w:pPr>
        <w:pStyle w:val="BodyText"/>
        <w:ind w:firstLine="0"/>
      </w:pPr>
      <w:r>
        <w:t>Blackwall was evaluated in a controlled environment designed to mimic real-world network traffic patterns</w:t>
      </w:r>
      <w:r w:rsidR="0098572B">
        <w:t>,</w:t>
      </w:r>
      <w:r w:rsidR="00BE3DA0">
        <w:t xml:space="preserve"> built around using python-based simulation scripts, incorporating </w:t>
      </w:r>
      <w:r w:rsidR="008B2C9C" w:rsidRPr="008B2C9C">
        <w:rPr>
          <w:lang w:val="en-US"/>
        </w:rPr>
        <w:t>synthetic</w:t>
      </w:r>
      <w:r w:rsidR="00BE3DA0">
        <w:t xml:space="preserve"> network traffic, known attack </w:t>
      </w:r>
      <w:r w:rsidR="008B2C9C">
        <w:t>vectors,</w:t>
      </w:r>
      <w:r w:rsidR="00BE3DA0">
        <w:t xml:space="preserve"> (such as </w:t>
      </w:r>
      <w:r w:rsidR="00D065ED">
        <w:t>port scan</w:t>
      </w:r>
      <w:r w:rsidR="00BE3DA0">
        <w:t>, brute force, and privilege escalation), and randomized benign activity, datasets were modeled based on patterns observed in public corpora such as CICIDS2017 and NSL-KDD</w:t>
      </w:r>
      <w:r w:rsidR="0098572B">
        <w:t>,</w:t>
      </w:r>
      <w:r w:rsidR="00BE3DA0">
        <w:t xml:space="preserve"> allowing for generation of both labeled and malicious and non-malicious sessions.</w:t>
      </w:r>
      <w:r w:rsidR="001D01F1">
        <w:t xml:space="preserve"> </w:t>
      </w:r>
    </w:p>
    <w:p w14:paraId="1DF54E2A" w14:textId="37E948A8" w:rsidR="009303D9" w:rsidRDefault="0017280A" w:rsidP="00ED0149">
      <w:pPr>
        <w:pStyle w:val="Heading2"/>
      </w:pPr>
      <w:r>
        <w:t>Results</w:t>
      </w:r>
    </w:p>
    <w:p w14:paraId="64C75760" w14:textId="3C8CE3D4" w:rsidR="0017280A" w:rsidRPr="0017280A" w:rsidRDefault="0017280A" w:rsidP="0017280A">
      <w:pPr>
        <w:jc w:val="left"/>
      </w:pPr>
      <w:r>
        <w:t>These results were derived from simulated network environments incorporating synthetic traffic, known attack patterns, and baseline user behavior. The high detection rate and low false positive rate reflects the effective synergy between RZA and TVM modules, while the FPP module demonstrated a strong deception performance by successfully engaging adversarial behavior in over 85% of attack scenarios.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943"/>
        <w:gridCol w:w="1442"/>
      </w:tblGrid>
      <w:tr w:rsidR="0017280A" w14:paraId="44C5D674" w14:textId="77777777" w:rsidTr="0017280A">
        <w:trPr>
          <w:cantSplit/>
          <w:trHeight w:val="266"/>
          <w:tblHeader/>
          <w:jc w:val="center"/>
        </w:trPr>
        <w:tc>
          <w:tcPr>
            <w:tcW w:w="4385" w:type="dxa"/>
            <w:gridSpan w:val="2"/>
            <w:vAlign w:val="center"/>
          </w:tcPr>
          <w:p w14:paraId="6B7A1007" w14:textId="551B1702" w:rsidR="0017280A" w:rsidRDefault="0017280A" w:rsidP="002A0FC2">
            <w:pPr>
              <w:pStyle w:val="tablecolhead"/>
            </w:pPr>
            <w:r>
              <w:t>Results and metrics.</w:t>
            </w:r>
          </w:p>
        </w:tc>
      </w:tr>
      <w:tr w:rsidR="0017280A" w14:paraId="01174CD8" w14:textId="77777777" w:rsidTr="0017280A">
        <w:trPr>
          <w:cantSplit/>
          <w:trHeight w:val="209"/>
          <w:tblHeader/>
          <w:jc w:val="center"/>
        </w:trPr>
        <w:tc>
          <w:tcPr>
            <w:tcW w:w="2943" w:type="dxa"/>
            <w:vAlign w:val="center"/>
          </w:tcPr>
          <w:p w14:paraId="279102E5" w14:textId="7B36B84B" w:rsidR="0017280A" w:rsidRDefault="0017280A" w:rsidP="0017280A">
            <w:pPr>
              <w:pStyle w:val="tablecolsubhead"/>
              <w:jc w:val="both"/>
            </w:pPr>
            <w:r>
              <w:t>Detection rate (DR)</w:t>
            </w:r>
          </w:p>
        </w:tc>
        <w:tc>
          <w:tcPr>
            <w:tcW w:w="1442" w:type="dxa"/>
            <w:vAlign w:val="center"/>
          </w:tcPr>
          <w:p w14:paraId="0128DC58" w14:textId="60231B87" w:rsidR="0017280A" w:rsidRDefault="0017280A" w:rsidP="002A0FC2">
            <w:pPr>
              <w:pStyle w:val="tablecolsubhead"/>
            </w:pPr>
            <w:r>
              <w:t>96.4%</w:t>
            </w:r>
          </w:p>
        </w:tc>
      </w:tr>
      <w:tr w:rsidR="0017280A" w14:paraId="728A9548" w14:textId="77777777" w:rsidTr="0017280A">
        <w:trPr>
          <w:trHeight w:val="355"/>
          <w:jc w:val="center"/>
        </w:trPr>
        <w:tc>
          <w:tcPr>
            <w:tcW w:w="2943" w:type="dxa"/>
            <w:vAlign w:val="center"/>
          </w:tcPr>
          <w:p w14:paraId="6CB52793" w14:textId="4A0590C3" w:rsidR="0017280A" w:rsidRDefault="0017280A" w:rsidP="002A0FC2">
            <w:pPr>
              <w:pStyle w:val="tablecopy"/>
            </w:pPr>
            <w:r>
              <w:t>False positive rate (FPR)</w:t>
            </w:r>
          </w:p>
        </w:tc>
        <w:tc>
          <w:tcPr>
            <w:tcW w:w="1442" w:type="dxa"/>
            <w:vAlign w:val="center"/>
          </w:tcPr>
          <w:p w14:paraId="2AE8CFB9" w14:textId="77777777" w:rsidR="0017280A" w:rsidRDefault="0017280A" w:rsidP="002A0FC2">
            <w:pPr>
              <w:rPr>
                <w:sz w:val="16"/>
                <w:szCs w:val="16"/>
              </w:rPr>
            </w:pPr>
            <w:r>
              <w:rPr>
                <w:sz w:val="16"/>
                <w:szCs w:val="16"/>
              </w:rPr>
              <w:t>3.1%</w:t>
            </w:r>
          </w:p>
          <w:p w14:paraId="7CBC15FB" w14:textId="383DCDA0" w:rsidR="0017280A" w:rsidRDefault="0017280A" w:rsidP="0017280A">
            <w:pPr>
              <w:jc w:val="both"/>
              <w:rPr>
                <w:sz w:val="16"/>
                <w:szCs w:val="16"/>
              </w:rPr>
            </w:pPr>
          </w:p>
        </w:tc>
      </w:tr>
      <w:tr w:rsidR="0017280A" w14:paraId="1E73B49F" w14:textId="77777777" w:rsidTr="0017280A">
        <w:trPr>
          <w:trHeight w:val="355"/>
          <w:jc w:val="center"/>
        </w:trPr>
        <w:tc>
          <w:tcPr>
            <w:tcW w:w="2943" w:type="dxa"/>
            <w:vAlign w:val="center"/>
          </w:tcPr>
          <w:p w14:paraId="67C4960B" w14:textId="248AD153" w:rsidR="0017280A" w:rsidRDefault="0017280A" w:rsidP="0017280A">
            <w:pPr>
              <w:pStyle w:val="tablecopy"/>
            </w:pPr>
            <w:r>
              <w:t xml:space="preserve">Trust </w:t>
            </w:r>
            <w:r w:rsidRPr="0017280A">
              <w:t>Accuracy</w:t>
            </w:r>
            <w:r>
              <w:t xml:space="preserve"> (TVM module)</w:t>
            </w:r>
          </w:p>
        </w:tc>
        <w:tc>
          <w:tcPr>
            <w:tcW w:w="1442" w:type="dxa"/>
            <w:vAlign w:val="center"/>
          </w:tcPr>
          <w:p w14:paraId="7BBD0B9E" w14:textId="0747BDC8" w:rsidR="0017280A" w:rsidRDefault="0017280A" w:rsidP="002A0FC2">
            <w:pPr>
              <w:rPr>
                <w:sz w:val="16"/>
                <w:szCs w:val="16"/>
              </w:rPr>
            </w:pPr>
            <w:r>
              <w:rPr>
                <w:sz w:val="16"/>
                <w:szCs w:val="16"/>
              </w:rPr>
              <w:t>91.2%</w:t>
            </w:r>
          </w:p>
        </w:tc>
      </w:tr>
      <w:tr w:rsidR="0017280A" w14:paraId="0C426C92" w14:textId="77777777" w:rsidTr="0017280A">
        <w:trPr>
          <w:trHeight w:val="355"/>
          <w:jc w:val="center"/>
        </w:trPr>
        <w:tc>
          <w:tcPr>
            <w:tcW w:w="2943" w:type="dxa"/>
            <w:vAlign w:val="center"/>
          </w:tcPr>
          <w:p w14:paraId="121A15CC" w14:textId="55B3BEA3" w:rsidR="0017280A" w:rsidRDefault="0017280A" w:rsidP="0017280A">
            <w:pPr>
              <w:pStyle w:val="tablecopy"/>
            </w:pPr>
            <w:r>
              <w:t xml:space="preserve">Deception </w:t>
            </w:r>
            <w:r w:rsidRPr="0017280A">
              <w:t>Engagement Effectiveness</w:t>
            </w:r>
          </w:p>
        </w:tc>
        <w:tc>
          <w:tcPr>
            <w:tcW w:w="1442" w:type="dxa"/>
            <w:vAlign w:val="center"/>
          </w:tcPr>
          <w:p w14:paraId="0DC2FBCC" w14:textId="55F0E730" w:rsidR="0017280A" w:rsidRDefault="0017280A" w:rsidP="002A0FC2">
            <w:pPr>
              <w:rPr>
                <w:sz w:val="16"/>
                <w:szCs w:val="16"/>
              </w:rPr>
            </w:pPr>
            <w:r>
              <w:rPr>
                <w:sz w:val="16"/>
                <w:szCs w:val="16"/>
              </w:rPr>
              <w:t>85.7%</w:t>
            </w:r>
          </w:p>
        </w:tc>
      </w:tr>
    </w:tbl>
    <w:p w14:paraId="5B5D6B7B" w14:textId="36DF53EE" w:rsidR="009303D9" w:rsidRPr="005B520E" w:rsidRDefault="000A07D2" w:rsidP="000A07D2">
      <w:pPr>
        <w:pStyle w:val="Heading4"/>
      </w:pPr>
      <w:r>
        <w:t xml:space="preserve">These results were obtained from a simulated </w:t>
      </w:r>
      <w:r w:rsidR="008B2C9C">
        <w:t>enviroment</w:t>
      </w:r>
      <w:r>
        <w:t xml:space="preserve"> </w:t>
      </w:r>
      <w:r w:rsidR="00CB4861">
        <w:t>using</w:t>
      </w:r>
      <w:r>
        <w:t xml:space="preserve"> </w:t>
      </w:r>
      <w:r w:rsidR="00D065ED" w:rsidRPr="00D065ED">
        <w:t>synthetic</w:t>
      </w:r>
      <w:r>
        <w:t xml:space="preserve"> network traffic and known attack ve</w:t>
      </w:r>
      <w:r w:rsidR="008B2C9C">
        <w:t>ctor</w:t>
      </w:r>
      <w:r>
        <w:t>s. The high detection rate and low false positive rate suggest strong coordination between anomaly detection and contextual trust scoring.</w:t>
      </w:r>
    </w:p>
    <w:p w14:paraId="0D967016" w14:textId="2E76E235" w:rsidR="009303D9" w:rsidRDefault="009303D9" w:rsidP="00A059B3">
      <w:pPr>
        <w:pStyle w:val="Heading5"/>
      </w:pPr>
      <w:bookmarkStart w:id="1" w:name="_Hlk201588631"/>
      <w:r w:rsidRPr="005B520E">
        <w:t>Reference</w:t>
      </w:r>
      <w:r w:rsidR="00826F4B">
        <w:t xml:space="preserve"> 1</w:t>
      </w:r>
    </w:p>
    <w:p w14:paraId="10046B7A" w14:textId="77777777" w:rsidR="005B2B32" w:rsidRDefault="005B2B32" w:rsidP="005B2B32">
      <w:pPr>
        <w:jc w:val="left"/>
        <w:rPr>
          <w:sz w:val="16"/>
          <w:szCs w:val="16"/>
        </w:rPr>
      </w:pPr>
      <w:r w:rsidRPr="005B2B32">
        <w:rPr>
          <w:sz w:val="16"/>
          <w:szCs w:val="16"/>
        </w:rPr>
        <w:t>[1] Y. Guo, "A review of machine learning-based zero-day attack detection: challenges and future directions," Computer Communications, vol. 198, pp. 1-18, Jan. 2023.</w:t>
      </w:r>
    </w:p>
    <w:p w14:paraId="6226660A" w14:textId="77777777" w:rsidR="005B2B32" w:rsidRPr="005B2B32" w:rsidRDefault="005B2B32" w:rsidP="005B2B32">
      <w:pPr>
        <w:jc w:val="left"/>
        <w:rPr>
          <w:sz w:val="16"/>
          <w:szCs w:val="16"/>
        </w:rPr>
      </w:pPr>
    </w:p>
    <w:p w14:paraId="149BEF7B" w14:textId="77777777" w:rsidR="005B2B32" w:rsidRDefault="005B2B32" w:rsidP="005B2B32">
      <w:pPr>
        <w:jc w:val="left"/>
        <w:rPr>
          <w:sz w:val="16"/>
          <w:szCs w:val="16"/>
        </w:rPr>
      </w:pPr>
      <w:r w:rsidRPr="005B2B32">
        <w:rPr>
          <w:sz w:val="16"/>
          <w:szCs w:val="16"/>
        </w:rPr>
        <w:t>[2] M. Sarhan, S. Layeghy, M. Gallagher, N. Moustafa, and P. Watters, "From zero-shot machine learning to zero-day attack detection," International Journal of Information Security, vol. 22, pp. 947-959, 2023.</w:t>
      </w:r>
    </w:p>
    <w:p w14:paraId="161BC652" w14:textId="77777777" w:rsidR="005B2B32" w:rsidRPr="005B2B32" w:rsidRDefault="005B2B32" w:rsidP="005B2B32">
      <w:pPr>
        <w:jc w:val="left"/>
        <w:rPr>
          <w:sz w:val="16"/>
          <w:szCs w:val="16"/>
        </w:rPr>
      </w:pPr>
    </w:p>
    <w:p w14:paraId="3D3EF216" w14:textId="77777777" w:rsidR="005B2B32" w:rsidRDefault="005B2B32" w:rsidP="005B2B32">
      <w:pPr>
        <w:jc w:val="left"/>
        <w:rPr>
          <w:sz w:val="16"/>
          <w:szCs w:val="16"/>
        </w:rPr>
      </w:pPr>
      <w:r w:rsidRPr="005B2B32">
        <w:rPr>
          <w:sz w:val="16"/>
          <w:szCs w:val="16"/>
        </w:rPr>
        <w:t>[3] S. Rose, O. Borchert, S. Mitchell, and S. Connelly, "Zero trust architecture," NIST Special Publication 800-207, National Institute of Standards and Technology, Aug. 2020.</w:t>
      </w:r>
    </w:p>
    <w:p w14:paraId="3E8A6ED3" w14:textId="77777777" w:rsidR="005B2B32" w:rsidRPr="005B2B32" w:rsidRDefault="005B2B32" w:rsidP="005B2B32">
      <w:pPr>
        <w:jc w:val="left"/>
        <w:rPr>
          <w:sz w:val="16"/>
          <w:szCs w:val="16"/>
        </w:rPr>
      </w:pPr>
    </w:p>
    <w:p w14:paraId="32DA1CDF" w14:textId="77777777" w:rsidR="005B2B32" w:rsidRDefault="005B2B32" w:rsidP="005B2B32">
      <w:pPr>
        <w:jc w:val="left"/>
        <w:rPr>
          <w:sz w:val="16"/>
          <w:szCs w:val="16"/>
        </w:rPr>
      </w:pPr>
      <w:r w:rsidRPr="005B2B32">
        <w:rPr>
          <w:sz w:val="16"/>
          <w:szCs w:val="16"/>
        </w:rPr>
        <w:t>[4] P. Dini, A. Elhanashi, A. Begni, S. Saponara, Q. Zheng, and K. Gasmi, "Overview on intrusion detection systems design exploiting machine learning for networking cybersecurity," Applied Sciences, vol. 13, no. 13, pp. 7507, June 2023.</w:t>
      </w:r>
    </w:p>
    <w:p w14:paraId="74E95ED6" w14:textId="77777777" w:rsidR="005B2B32" w:rsidRPr="005B2B32" w:rsidRDefault="005B2B32" w:rsidP="005B2B32">
      <w:pPr>
        <w:jc w:val="left"/>
        <w:rPr>
          <w:sz w:val="16"/>
          <w:szCs w:val="16"/>
        </w:rPr>
      </w:pPr>
    </w:p>
    <w:p w14:paraId="7492598C" w14:textId="77777777" w:rsidR="005B2B32" w:rsidRDefault="005B2B32" w:rsidP="005B2B32">
      <w:pPr>
        <w:jc w:val="left"/>
        <w:rPr>
          <w:sz w:val="16"/>
          <w:szCs w:val="16"/>
        </w:rPr>
      </w:pPr>
      <w:r w:rsidRPr="005B2B32">
        <w:rPr>
          <w:sz w:val="16"/>
          <w:szCs w:val="16"/>
        </w:rPr>
        <w:t>[5] A. Javadpour, F. Ja'fari, and T. Taleb, "A comprehensive survey on cyber deception techniques to improve honeypot performance," Computers &amp; Security, vol. 140, pp. 103732, May 2024.</w:t>
      </w:r>
    </w:p>
    <w:p w14:paraId="63BF84C3" w14:textId="77777777" w:rsidR="005B2B32" w:rsidRPr="005B2B32" w:rsidRDefault="005B2B32" w:rsidP="005B2B32">
      <w:pPr>
        <w:jc w:val="left"/>
        <w:rPr>
          <w:sz w:val="16"/>
          <w:szCs w:val="16"/>
        </w:rPr>
      </w:pPr>
    </w:p>
    <w:p w14:paraId="2D823517" w14:textId="77777777" w:rsidR="005B2B32" w:rsidRDefault="005B2B32" w:rsidP="005B2B32">
      <w:pPr>
        <w:jc w:val="left"/>
        <w:rPr>
          <w:sz w:val="16"/>
          <w:szCs w:val="16"/>
        </w:rPr>
      </w:pPr>
      <w:r w:rsidRPr="005B2B32">
        <w:rPr>
          <w:sz w:val="16"/>
          <w:szCs w:val="16"/>
        </w:rPr>
        <w:t>[6] S. Masmoudi, E. Mezghani, S. Masmoudi, C. B. Amar, and H. Alhumyani, "Containerized cloud-based honeypot deception for tracking attackers," Scientific Reports, vol. 13, pp. 1896, Feb. 2023.</w:t>
      </w:r>
    </w:p>
    <w:p w14:paraId="6B949FDF" w14:textId="77777777" w:rsidR="005B2B32" w:rsidRPr="005B2B32" w:rsidRDefault="005B2B32" w:rsidP="005B2B32">
      <w:pPr>
        <w:jc w:val="left"/>
        <w:rPr>
          <w:sz w:val="16"/>
          <w:szCs w:val="16"/>
        </w:rPr>
      </w:pPr>
    </w:p>
    <w:p w14:paraId="773B761D" w14:textId="77777777" w:rsidR="005B2B32" w:rsidRDefault="005B2B32" w:rsidP="005B2B32">
      <w:pPr>
        <w:jc w:val="left"/>
        <w:rPr>
          <w:sz w:val="16"/>
          <w:szCs w:val="16"/>
        </w:rPr>
      </w:pPr>
      <w:r w:rsidRPr="005B2B32">
        <w:rPr>
          <w:sz w:val="16"/>
          <w:szCs w:val="16"/>
        </w:rPr>
        <w:t>[7] H. Hindy, R. Atkinson, C. Tachtatzis, J.-N. Colin, E. Bayne, and X. Bellekens, "Utilising deep learning techniques for effective zero-day attack detection," Electronics, vol. 9, no. 10, pp. 1684, Oct. 2020.</w:t>
      </w:r>
    </w:p>
    <w:p w14:paraId="2C4A5ACF" w14:textId="77777777" w:rsidR="005B2B32" w:rsidRPr="005B2B32" w:rsidRDefault="005B2B32" w:rsidP="005B2B32">
      <w:pPr>
        <w:jc w:val="left"/>
        <w:rPr>
          <w:sz w:val="16"/>
          <w:szCs w:val="16"/>
        </w:rPr>
      </w:pPr>
    </w:p>
    <w:p w14:paraId="3F2F30AB" w14:textId="77777777" w:rsidR="005B2B32" w:rsidRDefault="005B2B32" w:rsidP="005B2B32">
      <w:pPr>
        <w:jc w:val="left"/>
        <w:rPr>
          <w:sz w:val="16"/>
          <w:szCs w:val="16"/>
        </w:rPr>
      </w:pPr>
      <w:r w:rsidRPr="005B2B32">
        <w:rPr>
          <w:sz w:val="16"/>
          <w:szCs w:val="16"/>
        </w:rPr>
        <w:t>[8] M. Issa, M. Aljanabi, and H. M. Muhialdeen, "Systematic literature review on intrusion detection systems: research trends, algorithms, methods, datasets, and limitations," Journal of Intelligent Systems, vol. 33, no. 1, pp. 20230248, Jan. 2024.</w:t>
      </w:r>
    </w:p>
    <w:p w14:paraId="48F75756" w14:textId="77777777" w:rsidR="005B2B32" w:rsidRPr="005B2B32" w:rsidRDefault="005B2B32" w:rsidP="005B2B32">
      <w:pPr>
        <w:jc w:val="left"/>
        <w:rPr>
          <w:sz w:val="16"/>
          <w:szCs w:val="16"/>
        </w:rPr>
      </w:pPr>
    </w:p>
    <w:p w14:paraId="106AECF6" w14:textId="77777777" w:rsidR="005B2B32" w:rsidRDefault="005B2B32" w:rsidP="005B2B32">
      <w:pPr>
        <w:jc w:val="left"/>
        <w:rPr>
          <w:sz w:val="16"/>
          <w:szCs w:val="16"/>
        </w:rPr>
      </w:pPr>
      <w:r w:rsidRPr="005B2B32">
        <w:rPr>
          <w:sz w:val="16"/>
          <w:szCs w:val="16"/>
        </w:rPr>
        <w:t>[9] Y. Mirsky, T. Doitshman, Y. Elovici, and A. Shabtai, "Kitsune: an ensemble of autoencoders for online network intrusion detection," in Proc. Network and Distributed System Security Symposium (NDSS), San Diego, CA, 2018.</w:t>
      </w:r>
    </w:p>
    <w:p w14:paraId="25CA5186" w14:textId="77777777" w:rsidR="005B2B32" w:rsidRPr="005B2B32" w:rsidRDefault="005B2B32" w:rsidP="005B2B32">
      <w:pPr>
        <w:jc w:val="left"/>
        <w:rPr>
          <w:sz w:val="16"/>
          <w:szCs w:val="16"/>
        </w:rPr>
      </w:pPr>
    </w:p>
    <w:p w14:paraId="71114EDD" w14:textId="77777777" w:rsidR="005B2B32" w:rsidRDefault="005B2B32" w:rsidP="005B2B32">
      <w:pPr>
        <w:jc w:val="left"/>
        <w:rPr>
          <w:sz w:val="16"/>
          <w:szCs w:val="16"/>
        </w:rPr>
      </w:pPr>
      <w:r w:rsidRPr="005B2B32">
        <w:rPr>
          <w:sz w:val="16"/>
          <w:szCs w:val="16"/>
        </w:rPr>
        <w:lastRenderedPageBreak/>
        <w:t>[10] L. Bilge and T. Dumitraş, "Before we knew it: an empirical study of zero-day attacks in the wild," in Proc. 2012 ACM Conference on Computer and Communications Security, Raleigh, NC, Oct. 2012, pp. 833-844.</w:t>
      </w:r>
    </w:p>
    <w:p w14:paraId="55B952CB" w14:textId="77777777" w:rsidR="009303D9" w:rsidRPr="005B520E" w:rsidRDefault="009303D9" w:rsidP="0090409F">
      <w:pPr>
        <w:jc w:val="both"/>
      </w:pPr>
    </w:p>
    <w:bookmarkEnd w:id="1"/>
    <w:p w14:paraId="3F8AF57E" w14:textId="00445681"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50F8C3A8" w14:textId="1E1804D5" w:rsidR="009303D9" w:rsidRDefault="009303D9" w:rsidP="005B520E"/>
    <w:p w14:paraId="7F40F6D9" w14:textId="77777777" w:rsidR="0049132D" w:rsidRDefault="0049132D" w:rsidP="005B520E"/>
    <w:p w14:paraId="2495F1CC" w14:textId="77777777" w:rsidR="0049132D" w:rsidRDefault="0049132D" w:rsidP="005B520E"/>
    <w:p w14:paraId="2358C3CD" w14:textId="77777777" w:rsidR="0049132D" w:rsidRDefault="0049132D" w:rsidP="005B520E"/>
    <w:p w14:paraId="35BA0553" w14:textId="77777777" w:rsidR="0049132D" w:rsidRDefault="0049132D" w:rsidP="005B520E"/>
    <w:p w14:paraId="71A72E95" w14:textId="77777777" w:rsidR="0049132D" w:rsidRDefault="0049132D" w:rsidP="005B520E"/>
    <w:p w14:paraId="314CA8DE" w14:textId="77777777" w:rsidR="0049132D" w:rsidRDefault="0049132D" w:rsidP="005B520E"/>
    <w:p w14:paraId="76F70D50" w14:textId="05B7A678" w:rsidR="0049132D" w:rsidRDefault="0049132D">
      <w:pPr>
        <w:jc w:val="left"/>
      </w:pPr>
      <w:r>
        <w:br w:type="page"/>
      </w:r>
    </w:p>
    <w:p w14:paraId="0A9BB6EA" w14:textId="3416AE1E" w:rsidR="00826F4B" w:rsidRPr="00CA4392" w:rsidRDefault="00826F4B" w:rsidP="002F18F7">
      <w:pPr>
        <w:pStyle w:val="Author"/>
        <w:spacing w:before="100" w:beforeAutospacing="1" w:after="100" w:afterAutospacing="1" w:line="120" w:lineRule="auto"/>
        <w:rPr>
          <w:sz w:val="16"/>
          <w:szCs w:val="16"/>
        </w:rPr>
        <w:sectPr w:rsidR="00826F4B" w:rsidRPr="00CA4392" w:rsidSect="00826F4B">
          <w:footerReference w:type="first" r:id="rId10"/>
          <w:type w:val="continuous"/>
          <w:pgSz w:w="11906" w:h="16838" w:code="9"/>
          <w:pgMar w:top="540" w:right="893" w:bottom="1440" w:left="893" w:header="720" w:footer="720" w:gutter="0"/>
          <w:cols w:space="720"/>
          <w:titlePg/>
          <w:docGrid w:linePitch="360"/>
        </w:sectPr>
      </w:pPr>
    </w:p>
    <w:p w14:paraId="0797EFC5" w14:textId="1ADBC517" w:rsidR="00826F4B" w:rsidRDefault="00826F4B" w:rsidP="002F18F7">
      <w:pPr>
        <w:pStyle w:val="Author"/>
        <w:spacing w:before="100" w:beforeAutospacing="1"/>
        <w:jc w:val="both"/>
        <w:rPr>
          <w:sz w:val="18"/>
          <w:szCs w:val="18"/>
        </w:rPr>
      </w:pPr>
    </w:p>
    <w:p w14:paraId="6AD5FE41" w14:textId="77777777" w:rsidR="00826F4B" w:rsidRPr="005B520E" w:rsidRDefault="00826F4B" w:rsidP="00826F4B">
      <w:pPr>
        <w:pStyle w:val="Author"/>
        <w:spacing w:before="100" w:beforeAutospacing="1"/>
        <w:sectPr w:rsidR="00826F4B" w:rsidRPr="005B520E" w:rsidSect="00826F4B">
          <w:type w:val="continuous"/>
          <w:pgSz w:w="11906" w:h="16838" w:code="9"/>
          <w:pgMar w:top="450" w:right="893" w:bottom="1440" w:left="893" w:header="720" w:footer="720" w:gutter="0"/>
          <w:cols w:num="3" w:space="720"/>
          <w:docGrid w:linePitch="360"/>
        </w:sectPr>
      </w:pPr>
      <w:r>
        <w:rPr>
          <w:sz w:val="18"/>
          <w:szCs w:val="18"/>
        </w:rPr>
        <w:br w:type="column"/>
      </w:r>
    </w:p>
    <w:p w14:paraId="38012A40" w14:textId="57D6FD1C" w:rsidR="00826F4B" w:rsidRDefault="00636FE2" w:rsidP="00826F4B">
      <w:pPr>
        <w:pStyle w:val="Heading1"/>
      </w:pPr>
      <w:r>
        <w:t>related work</w:t>
      </w:r>
    </w:p>
    <w:p w14:paraId="70044C5D" w14:textId="6B27EED9" w:rsidR="00826F4B" w:rsidRDefault="00636FE2" w:rsidP="00636FE2">
      <w:pPr>
        <w:pStyle w:val="BodyText"/>
        <w:spacing w:line="240" w:lineRule="auto"/>
        <w:ind w:left="900" w:firstLine="0"/>
      </w:pPr>
      <w:r>
        <w:t>The landscape of cybersecurity has seen ongoing developments in anomaly detections, zero-trust architectures, and deception-based defenses. Several notable systems have influenced the trajectory of threat detection, though none have been integrated all three dimensions—detection, trust verification, and strategic deception—into a unified pipeline like BlackWall.</w:t>
      </w:r>
    </w:p>
    <w:p w14:paraId="67ED38FB" w14:textId="07BE1DAC" w:rsidR="00636FE2" w:rsidRDefault="00636FE2" w:rsidP="00636FE2">
      <w:pPr>
        <w:pStyle w:val="BodyText"/>
        <w:spacing w:line="240" w:lineRule="auto"/>
        <w:ind w:left="900" w:firstLine="0"/>
        <w:rPr>
          <w:lang w:val="en-US"/>
        </w:rPr>
      </w:pPr>
      <w:r>
        <w:t>Signature-based IDS tools such as Snort and Suricata offer real-time traffic analysis but fall short against novel or zero-day attacks due to their reliance on known patterns. Conversely, anomaly-based systems like those proposed [</w:t>
      </w:r>
      <w:r w:rsidRPr="00636FE2">
        <w:rPr>
          <w:lang w:val="en-US"/>
        </w:rPr>
        <w:t>Chandola et al., 2009</w:t>
      </w:r>
      <w:r>
        <w:rPr>
          <w:lang w:val="en-US"/>
        </w:rPr>
        <w:t xml:space="preserve">] introduce machine learning to identify unusual behavior. While this expands detection </w:t>
      </w:r>
      <w:r w:rsidRPr="00636FE2">
        <w:rPr>
          <w:lang w:val="en-US"/>
        </w:rPr>
        <w:t>capabilities</w:t>
      </w:r>
      <w:r>
        <w:rPr>
          <w:lang w:val="en-US"/>
        </w:rPr>
        <w:t>, they often suffer from high false positive rates and lack adaptive trust modeling.</w:t>
      </w:r>
    </w:p>
    <w:p w14:paraId="42F75035" w14:textId="52E69A74" w:rsidR="00636FE2" w:rsidRDefault="00636FE2" w:rsidP="002E45DE">
      <w:pPr>
        <w:pStyle w:val="BodyText"/>
        <w:spacing w:line="240" w:lineRule="auto"/>
        <w:ind w:left="900" w:firstLine="0"/>
        <w:rPr>
          <w:lang w:val="en-US"/>
        </w:rPr>
      </w:pPr>
      <w:r>
        <w:rPr>
          <w:lang w:val="en-US"/>
        </w:rPr>
        <w:t xml:space="preserve">The concept of Zero trust, as advanced by Forrester Research and later adopted by NIST (SP 800-207), emphasizes </w:t>
      </w:r>
      <w:r w:rsidRPr="00636FE2">
        <w:rPr>
          <w:lang w:val="en-US"/>
        </w:rPr>
        <w:t>verification</w:t>
      </w:r>
      <w:r>
        <w:rPr>
          <w:lang w:val="en-US"/>
        </w:rPr>
        <w:t xml:space="preserve"> over </w:t>
      </w:r>
      <w:r w:rsidR="002E45DE" w:rsidRPr="002E45DE">
        <w:rPr>
          <w:lang w:val="en-US"/>
        </w:rPr>
        <w:t>implicit</w:t>
      </w:r>
      <w:r w:rsidR="002E45DE">
        <w:rPr>
          <w:lang w:val="en-US"/>
        </w:rPr>
        <w:t xml:space="preserve"> trust, requiring systems to </w:t>
      </w:r>
      <w:r w:rsidR="002E45DE" w:rsidRPr="002E45DE">
        <w:rPr>
          <w:lang w:val="en-US"/>
        </w:rPr>
        <w:t>continuously</w:t>
      </w:r>
      <w:r w:rsidR="002E45DE">
        <w:rPr>
          <w:lang w:val="en-US"/>
        </w:rPr>
        <w:t xml:space="preserve"> validate users and devices. However, most zero-trust models operate independently of active anomaly detection or deception feedback loops.</w:t>
      </w:r>
    </w:p>
    <w:p w14:paraId="2D00C913" w14:textId="3C43AFE1" w:rsidR="002E45DE" w:rsidRDefault="002E45DE" w:rsidP="002E45DE">
      <w:pPr>
        <w:pStyle w:val="BodyText"/>
        <w:spacing w:line="240" w:lineRule="auto"/>
        <w:ind w:left="900" w:firstLine="0"/>
        <w:rPr>
          <w:lang w:val="en-US"/>
        </w:rPr>
      </w:pPr>
      <w:r>
        <w:rPr>
          <w:lang w:val="en-US"/>
        </w:rPr>
        <w:t>Deception-based strategies, including honeypots, canary tokens, and fake file systems, have been explored in projects like Honeyd and CanaryTools. These systems aim to mislead or observe attackers, but they are generally passive and not dynamically triggered by behavioral analysis or trust evaluations.</w:t>
      </w:r>
    </w:p>
    <w:p w14:paraId="708DB7C6" w14:textId="4AF0F4F0" w:rsidR="002E45DE" w:rsidRDefault="002E45DE" w:rsidP="002E45DE">
      <w:pPr>
        <w:pStyle w:val="BodyText"/>
        <w:spacing w:line="240" w:lineRule="auto"/>
        <w:ind w:left="900" w:firstLine="0"/>
        <w:rPr>
          <w:lang w:val="en-US"/>
        </w:rPr>
      </w:pPr>
      <w:r>
        <w:rPr>
          <w:lang w:val="en-US"/>
        </w:rPr>
        <w:t>More recently, research has focused on integrating AI-powered deception engines. Projects like DEEP-DEC (Deep Learning deception engine) and MimicNet explore adversarial interaction models but often lack transparent implementation or modular design.</w:t>
      </w:r>
    </w:p>
    <w:p w14:paraId="7C793F40" w14:textId="0B325EFD" w:rsidR="002E45DE" w:rsidRPr="005B520E" w:rsidRDefault="002E45DE" w:rsidP="002E45DE">
      <w:pPr>
        <w:pStyle w:val="BodyText"/>
        <w:spacing w:line="240" w:lineRule="auto"/>
        <w:ind w:left="900" w:firstLine="0"/>
      </w:pPr>
      <w:r>
        <w:rPr>
          <w:lang w:val="en-US"/>
        </w:rPr>
        <w:t xml:space="preserve">In contrast, BlackWall unifies these approaches by embedding anomaly detection (RZA), trust scoring (TVM), and adaptive deception protocol (FPP) into a single decision framework. Its novel uses mathematically conditioned deception responses based on real-time </w:t>
      </w:r>
      <w:r w:rsidRPr="002E45DE">
        <w:rPr>
          <w:lang w:val="en-US"/>
        </w:rPr>
        <w:t>behavioral</w:t>
      </w:r>
      <w:r>
        <w:rPr>
          <w:lang w:val="en-US"/>
        </w:rPr>
        <w:t xml:space="preserve"> trust positions beyond reactive systems, laying groundwork for proactive and strategic cybersecurity defense.</w:t>
      </w:r>
    </w:p>
    <w:p w14:paraId="6FF26EC3" w14:textId="19EC5778" w:rsidR="00826F4B" w:rsidRDefault="0071267A" w:rsidP="00826F4B">
      <w:pPr>
        <w:pStyle w:val="Heading1"/>
      </w:pPr>
      <w:r>
        <w:t>DISCUSSION</w:t>
      </w:r>
    </w:p>
    <w:p w14:paraId="455BCACB" w14:textId="77777777" w:rsidR="0071267A" w:rsidRDefault="0071267A" w:rsidP="0071267A"/>
    <w:p w14:paraId="4D5FFB7A" w14:textId="77777777" w:rsidR="0071267A" w:rsidRDefault="0071267A" w:rsidP="0071267A">
      <w:r>
        <w:t>The design of BlackWall reflects a departure from traditional cybersecurity defense strategies by embracing a proactive, modular, and strategically deceptive architecture.</w:t>
      </w:r>
    </w:p>
    <w:p w14:paraId="34AD8BFC" w14:textId="577593DA" w:rsidR="0071267A" w:rsidRDefault="0071267A" w:rsidP="0071267A">
      <w:pPr>
        <w:jc w:val="both"/>
      </w:pPr>
      <w:r>
        <w:t xml:space="preserve"> Rather than simply identifying known threats or reacting to intrusions, the system is built to detect novel patterns, assess contextual trust, and deliberately mislead attackers when beneficial.</w:t>
      </w:r>
    </w:p>
    <w:p w14:paraId="69BD0694" w14:textId="7231C7C1" w:rsidR="0071267A" w:rsidRDefault="0071267A" w:rsidP="0071267A">
      <w:pPr>
        <w:jc w:val="both"/>
      </w:pPr>
      <w:r>
        <w:t>A key strength of BlackWall lies in its layered pipeline: anomaly detection RZA, trust modeling via TVM, and dynamic deception using FPP. This progression allows the system to avoid knee-jerk rejections of suspicious files – instead, it evaluates intent, behavior, and context before determining a response. The output isn’t a</w:t>
      </w:r>
      <w:r w:rsidR="008662F4">
        <w:t xml:space="preserve"> </w:t>
      </w:r>
      <w:r>
        <w:t>binary allow/block, but nuanced decision: Allow, Block, Deceive.</w:t>
      </w:r>
    </w:p>
    <w:p w14:paraId="7F753664" w14:textId="77777777" w:rsidR="0071267A" w:rsidRDefault="0071267A" w:rsidP="0071267A">
      <w:pPr>
        <w:jc w:val="both"/>
      </w:pPr>
      <w:r>
        <w:t xml:space="preserve">This is where the </w:t>
      </w:r>
      <w:r w:rsidRPr="0071267A">
        <w:t>philosophical</w:t>
      </w:r>
      <w:r>
        <w:t xml:space="preserve"> shift occurs.</w:t>
      </w:r>
    </w:p>
    <w:p w14:paraId="001DB63A" w14:textId="77777777" w:rsidR="0071267A" w:rsidRDefault="0071267A" w:rsidP="0071267A">
      <w:pPr>
        <w:jc w:val="both"/>
      </w:pPr>
    </w:p>
    <w:p w14:paraId="2FE16DF5" w14:textId="77777777" w:rsidR="0071267A" w:rsidRDefault="0071267A" w:rsidP="0071267A">
      <w:pPr>
        <w:pStyle w:val="Heading2"/>
      </w:pPr>
      <w:r>
        <w:t>What if the system lies – on purpose ?</w:t>
      </w:r>
    </w:p>
    <w:p w14:paraId="3F99C883" w14:textId="77777777" w:rsidR="00B54D1E" w:rsidRDefault="00B54D1E" w:rsidP="0071267A">
      <w:pPr>
        <w:jc w:val="both"/>
      </w:pPr>
    </w:p>
    <w:p w14:paraId="22344628" w14:textId="523196DB" w:rsidR="00B54D1E" w:rsidRDefault="00B54D1E" w:rsidP="0071267A">
      <w:pPr>
        <w:jc w:val="both"/>
      </w:pPr>
      <w:r>
        <w:t xml:space="preserve">By engineering controlled false positives as strategic responses, Blackwall weaponizes deception. It no longer treats false positive as failures – but an </w:t>
      </w:r>
      <w:r w:rsidR="005551B5">
        <w:t>opportunity</w:t>
      </w:r>
      <w:r>
        <w:t>. A flagged connection doesn’t mean just get blocked; it gets fed disinformation, monitored silently, trapped in fabricated environments. This inversion turns attackers’ confidence into a liability.</w:t>
      </w:r>
    </w:p>
    <w:p w14:paraId="12596947" w14:textId="77777777" w:rsidR="00B54D1E" w:rsidRDefault="00B54D1E" w:rsidP="00B54D1E">
      <w:pPr>
        <w:jc w:val="both"/>
      </w:pPr>
      <w:r>
        <w:t xml:space="preserve">Of course, this approach isn’t without challenges. Dynamic deception requires careful calculations to avoid disturbing legitimate users. The system’s effectiveness also hinges on accuracy of RZA’S detection thresholds and TVM’S trust modeling. Future iterations will benefit from deeper behavioral profiling, real-time adversarial learning, and potentially </w:t>
      </w:r>
      <w:r w:rsidRPr="00B54D1E">
        <w:t>distributed</w:t>
      </w:r>
      <w:r>
        <w:t xml:space="preserve"> deception networks for larger environments.</w:t>
      </w:r>
    </w:p>
    <w:p w14:paraId="5B424F35" w14:textId="77777777" w:rsidR="00B54D1E" w:rsidRDefault="00B54D1E" w:rsidP="00B54D1E">
      <w:pPr>
        <w:pStyle w:val="Heading2"/>
      </w:pPr>
      <w:r>
        <w:t>Defense isn’t just about detection – it’s about control.</w:t>
      </w:r>
    </w:p>
    <w:p w14:paraId="4BDC8440" w14:textId="20F9B3DC" w:rsidR="0071267A" w:rsidRPr="0071267A" w:rsidRDefault="00B54D1E" w:rsidP="002F18F7">
      <w:pPr>
        <w:jc w:val="both"/>
      </w:pPr>
      <w:r>
        <w:t xml:space="preserve">Control doesn’t just defend a system. It manipulates the attacker’s perception, dictates the scenario, and ensures that every move they make is one step deeper into a trap of my design. </w:t>
      </w:r>
    </w:p>
    <w:p w14:paraId="40CE944A" w14:textId="6668A0A1" w:rsidR="00826F4B" w:rsidRDefault="002F18F7" w:rsidP="00826F4B">
      <w:pPr>
        <w:pStyle w:val="Heading1"/>
      </w:pPr>
      <w:r>
        <w:t>conclusion</w:t>
      </w:r>
    </w:p>
    <w:p w14:paraId="009353C0" w14:textId="77777777" w:rsidR="002F18F7" w:rsidRDefault="002F18F7" w:rsidP="002F18F7"/>
    <w:p w14:paraId="37D1A1D9" w14:textId="77777777" w:rsidR="002F18F7" w:rsidRDefault="002F18F7" w:rsidP="002F18F7">
      <w:pPr>
        <w:jc w:val="both"/>
      </w:pPr>
    </w:p>
    <w:p w14:paraId="72D272CB" w14:textId="610E4191" w:rsidR="002F18F7" w:rsidRDefault="002F18F7" w:rsidP="002F18F7">
      <w:pPr>
        <w:jc w:val="both"/>
      </w:pPr>
      <w:r>
        <w:t>This paper introduced BlackWall, a modular cybersecurity framework designed to address modern threats through proactive detection, trust verification, and strategic, deception. By combining anomaly-based zero-day detection (RZA), dynamic trust modeling (TVM), and a deception-driven response protocol (FPP), the system shifts away from traditional reactive models.</w:t>
      </w:r>
    </w:p>
    <w:p w14:paraId="227CFF64" w14:textId="77777777" w:rsidR="002F18F7" w:rsidRDefault="002F18F7" w:rsidP="002F18F7">
      <w:pPr>
        <w:jc w:val="both"/>
      </w:pPr>
      <w:r>
        <w:t>Unlike existing approaches that rely solely on signature-based detection or rigid policy enforcement, BlackWall adapts to evolving threat behavior and manipulates attackers’ perception to regain control of the engagement. The evaluation demonstrates strong detection rates with low false positives, achieved entirely in a single-operational environment.</w:t>
      </w:r>
    </w:p>
    <w:p w14:paraId="3AA6EDF2" w14:textId="3103322F" w:rsidR="002F18F7" w:rsidRDefault="002F18F7" w:rsidP="002F18F7">
      <w:pPr>
        <w:jc w:val="both"/>
      </w:pPr>
      <w:r>
        <w:t>BlackWall lays the groundwork for future security systems that do more than block – they observe, learn, and mislead. As cybersecurity threats grow more adaptive and covert, so too must our defenses evolve to remain one step ahead.</w:t>
      </w:r>
    </w:p>
    <w:p w14:paraId="2DC405F5" w14:textId="5884FD18" w:rsidR="002F18F7" w:rsidRPr="002F18F7" w:rsidRDefault="002F18F7" w:rsidP="002F18F7">
      <w:pPr>
        <w:jc w:val="both"/>
        <w:sectPr w:rsidR="002F18F7" w:rsidRPr="002F18F7" w:rsidSect="00826F4B">
          <w:type w:val="continuous"/>
          <w:pgSz w:w="11906" w:h="16838" w:code="9"/>
          <w:pgMar w:top="1080" w:right="907" w:bottom="1440" w:left="907" w:header="720" w:footer="720" w:gutter="0"/>
          <w:cols w:num="2" w:space="360"/>
          <w:docGrid w:linePitch="360"/>
        </w:sectPr>
      </w:pPr>
    </w:p>
    <w:p w14:paraId="34A9A0DF" w14:textId="77777777" w:rsidR="00826F4B" w:rsidRDefault="00826F4B" w:rsidP="002F18F7">
      <w:pPr>
        <w:jc w:val="both"/>
      </w:pPr>
    </w:p>
    <w:p w14:paraId="4D2393B6" w14:textId="77777777" w:rsidR="00826F4B" w:rsidRDefault="00826F4B" w:rsidP="00413AD2">
      <w:pPr>
        <w:jc w:val="both"/>
      </w:pPr>
    </w:p>
    <w:p w14:paraId="4DD4C473" w14:textId="77777777" w:rsidR="00413AD2" w:rsidRDefault="00413AD2" w:rsidP="00413AD2">
      <w:pPr>
        <w:jc w:val="both"/>
      </w:pPr>
    </w:p>
    <w:p w14:paraId="68E69471" w14:textId="77777777" w:rsidR="00826F4B" w:rsidRDefault="00826F4B" w:rsidP="00826F4B"/>
    <w:p w14:paraId="70D99F65" w14:textId="77777777" w:rsidR="00826F4B" w:rsidRDefault="00826F4B" w:rsidP="00826F4B"/>
    <w:p w14:paraId="5906232A" w14:textId="77777777" w:rsidR="00413AD2" w:rsidRDefault="00413AD2" w:rsidP="00413AD2">
      <w:pPr>
        <w:pStyle w:val="Heading5"/>
      </w:pPr>
    </w:p>
    <w:p w14:paraId="003FC72E" w14:textId="7A612437" w:rsidR="00413AD2" w:rsidRDefault="00413AD2" w:rsidP="005551B5">
      <w:pPr>
        <w:pStyle w:val="Heading5"/>
        <w:bidi/>
        <w:ind w:left="2160"/>
        <w:jc w:val="right"/>
      </w:pPr>
      <w:r w:rsidRPr="005B520E">
        <w:lastRenderedPageBreak/>
        <w:t>Reference</w:t>
      </w:r>
      <w:r>
        <w:t xml:space="preserve"> 2</w:t>
      </w:r>
    </w:p>
    <w:p w14:paraId="5BB631B0" w14:textId="77777777" w:rsidR="00413AD2" w:rsidRPr="005B520E" w:rsidRDefault="00413AD2" w:rsidP="00413AD2">
      <w:pPr>
        <w:jc w:val="both"/>
      </w:pPr>
    </w:p>
    <w:p w14:paraId="779D1589" w14:textId="77777777" w:rsidR="00413AD2" w:rsidRPr="00F96569" w:rsidRDefault="00413AD2" w:rsidP="005551B5">
      <w:pPr>
        <w:pStyle w:val="references"/>
        <w:numPr>
          <w:ilvl w:val="0"/>
          <w:numId w:val="0"/>
        </w:numPr>
        <w:ind w:left="360" w:hanging="360"/>
        <w:rPr>
          <w:rFonts w:eastAsia="SimSun"/>
          <w:b/>
          <w:noProof w:val="0"/>
          <w:color w:val="FF0000"/>
          <w:spacing w:val="-1"/>
          <w:sz w:val="20"/>
          <w:szCs w:val="20"/>
          <w:lang w:val="x-none" w:eastAsia="x-none"/>
        </w:rPr>
        <w:sectPr w:rsidR="00413AD2" w:rsidRPr="00F96569" w:rsidSect="00413AD2">
          <w:type w:val="continuous"/>
          <w:pgSz w:w="11906" w:h="16838" w:code="9"/>
          <w:pgMar w:top="1080" w:right="907" w:bottom="1440" w:left="907" w:header="720" w:footer="720" w:gutter="0"/>
          <w:cols w:num="2" w:space="360"/>
          <w:docGrid w:linePitch="360"/>
        </w:sectPr>
      </w:pPr>
    </w:p>
    <w:p w14:paraId="3A60243E" w14:textId="6DD4909D" w:rsidR="00413AD2" w:rsidRPr="00413AD2" w:rsidRDefault="00413AD2" w:rsidP="00413AD2">
      <w:pPr>
        <w:jc w:val="left"/>
        <w:rPr>
          <w:sz w:val="16"/>
          <w:szCs w:val="16"/>
        </w:rPr>
      </w:pPr>
      <w:r w:rsidRPr="00413AD2">
        <w:rPr>
          <w:sz w:val="16"/>
          <w:szCs w:val="16"/>
        </w:rPr>
        <w:t>[11] A. Shabtai, Y. Fledel, U. Kanonov, Y. Elovici, S. Dolev, and C. Glezer, "Google Android: A comprehensive security assessment," IEEE Security &amp; Privacy, vol. 8, no. 2, pp. 35-44, Mar. 2010.</w:t>
      </w:r>
    </w:p>
    <w:p w14:paraId="155B1F6A" w14:textId="77777777" w:rsidR="00413AD2" w:rsidRPr="00413AD2" w:rsidRDefault="00413AD2" w:rsidP="00413AD2">
      <w:pPr>
        <w:jc w:val="left"/>
        <w:rPr>
          <w:sz w:val="16"/>
          <w:szCs w:val="16"/>
        </w:rPr>
      </w:pPr>
      <w:r w:rsidRPr="00413AD2">
        <w:rPr>
          <w:sz w:val="16"/>
          <w:szCs w:val="16"/>
        </w:rPr>
        <w:t>[12] R. Kozik, M. Choraś, M. Ficco, and F. Palmieri, "A scalable distributed machine learning approach for attack detection in edge computing environments," Journal of Parallel and Distributed Computing, vol. 119, pp. 18-26, Sep. 2018.</w:t>
      </w:r>
    </w:p>
    <w:p w14:paraId="63D0E485" w14:textId="7132A17E" w:rsidR="00413AD2" w:rsidRPr="00413AD2" w:rsidRDefault="00413AD2" w:rsidP="00413AD2">
      <w:pPr>
        <w:jc w:val="left"/>
        <w:rPr>
          <w:sz w:val="16"/>
          <w:szCs w:val="16"/>
        </w:rPr>
      </w:pPr>
      <w:r w:rsidRPr="00413AD2">
        <w:rPr>
          <w:sz w:val="16"/>
          <w:szCs w:val="16"/>
        </w:rPr>
        <w:t xml:space="preserve"> [13] L. Xiao, X. Wan, X. Lu, Y. Zhang, and D. Wu, "IoT security techniques based on machine learning: How do IoT devices use AI to enhance security?" IEEE Signal Processing Magazine, vol. 35, no. 5, pp. 41-49, Sep. 2018.</w:t>
      </w:r>
    </w:p>
    <w:p w14:paraId="5FDBB94D" w14:textId="77777777" w:rsidR="00413AD2" w:rsidRPr="00413AD2" w:rsidRDefault="00413AD2" w:rsidP="00413AD2">
      <w:pPr>
        <w:jc w:val="left"/>
        <w:rPr>
          <w:sz w:val="16"/>
          <w:szCs w:val="16"/>
        </w:rPr>
      </w:pPr>
      <w:r w:rsidRPr="00413AD2">
        <w:rPr>
          <w:sz w:val="16"/>
          <w:szCs w:val="16"/>
        </w:rPr>
        <w:t>[14] Y. Liu, S. Liu, and X. Wang, "A practical deep learning-based acoustic side channel attack on keyboards," in Proc. 2019 Network and Distributed System Security Symposium (NDSS), San Diego, CA, Feb. 2019.</w:t>
      </w:r>
    </w:p>
    <w:p w14:paraId="0B60A9E6" w14:textId="3E6A5323" w:rsidR="00413AD2" w:rsidRPr="00413AD2" w:rsidRDefault="00413AD2" w:rsidP="00413AD2">
      <w:pPr>
        <w:jc w:val="left"/>
        <w:rPr>
          <w:sz w:val="16"/>
          <w:szCs w:val="16"/>
        </w:rPr>
      </w:pPr>
      <w:r w:rsidRPr="00413AD2">
        <w:rPr>
          <w:sz w:val="16"/>
          <w:szCs w:val="16"/>
        </w:rPr>
        <w:t xml:space="preserve"> [15] K. E. Heckman, F. J. Stech, R. K. Thomas, B. Schmoker, and A. W. Tsow, "Cyber denial, deception and counter deception: A framework for supporting active cyber defense," Advances in Information Security, vol. 64, Springer, 2015.</w:t>
      </w:r>
    </w:p>
    <w:p w14:paraId="166297C0" w14:textId="77777777" w:rsidR="00413AD2" w:rsidRPr="00413AD2" w:rsidRDefault="00413AD2" w:rsidP="00413AD2">
      <w:pPr>
        <w:jc w:val="left"/>
        <w:rPr>
          <w:sz w:val="16"/>
          <w:szCs w:val="16"/>
        </w:rPr>
      </w:pPr>
      <w:r w:rsidRPr="00413AD2">
        <w:rPr>
          <w:sz w:val="16"/>
          <w:szCs w:val="16"/>
        </w:rPr>
        <w:t>[16] A. Almeshekah and E. H. Spafford, "Planning and integrating deception into computer security defenses," in Proc. 2014 New Security Paradigms Workshop, Victoria, BC, Canada, Sep. 2014, pp. 127-138.</w:t>
      </w:r>
    </w:p>
    <w:p w14:paraId="5F646742" w14:textId="10044301" w:rsidR="00413AD2" w:rsidRPr="00413AD2" w:rsidRDefault="00413AD2" w:rsidP="00413AD2">
      <w:pPr>
        <w:jc w:val="left"/>
        <w:rPr>
          <w:sz w:val="16"/>
          <w:szCs w:val="16"/>
        </w:rPr>
      </w:pPr>
      <w:r w:rsidRPr="00413AD2">
        <w:rPr>
          <w:sz w:val="16"/>
          <w:szCs w:val="16"/>
        </w:rPr>
        <w:t xml:space="preserve"> [17] J. Kindervag, "Build security into your network's DNA: The zero trust network architecture," Forrester Research, 2010.</w:t>
      </w:r>
    </w:p>
    <w:p w14:paraId="29DA25E5" w14:textId="77777777" w:rsidR="00413AD2" w:rsidRPr="00413AD2" w:rsidRDefault="00413AD2" w:rsidP="00413AD2">
      <w:pPr>
        <w:jc w:val="left"/>
        <w:rPr>
          <w:sz w:val="16"/>
          <w:szCs w:val="16"/>
        </w:rPr>
      </w:pPr>
      <w:r w:rsidRPr="00413AD2">
        <w:rPr>
          <w:sz w:val="16"/>
          <w:szCs w:val="16"/>
        </w:rPr>
        <w:t>[18] D. Ward and J. Beyer, "Network access control: A complete guide to NAC solutions," Addison-Wesley Professional, 2007.</w:t>
      </w:r>
    </w:p>
    <w:p w14:paraId="30EC90A4" w14:textId="0E8B3650" w:rsidR="00413AD2" w:rsidRPr="00413AD2" w:rsidRDefault="00413AD2" w:rsidP="00413AD2">
      <w:pPr>
        <w:jc w:val="left"/>
        <w:rPr>
          <w:sz w:val="16"/>
          <w:szCs w:val="16"/>
        </w:rPr>
      </w:pPr>
      <w:r w:rsidRPr="00413AD2">
        <w:rPr>
          <w:sz w:val="16"/>
          <w:szCs w:val="16"/>
        </w:rPr>
        <w:t xml:space="preserve"> [19] S. Neuhaus, T. Zimmermann, C. Holler, and A. Zeller, "Predicting vulnerable software components," in Proc. 14th ACM Conference on Computer and Communications Security, Alexandria, VA, Oct. 2007, pp. 529-540.</w:t>
      </w:r>
    </w:p>
    <w:p w14:paraId="7E75C43B" w14:textId="77777777" w:rsidR="00413AD2" w:rsidRPr="00413AD2" w:rsidRDefault="00413AD2" w:rsidP="00413AD2">
      <w:pPr>
        <w:jc w:val="left"/>
        <w:rPr>
          <w:sz w:val="16"/>
          <w:szCs w:val="16"/>
        </w:rPr>
      </w:pPr>
      <w:r w:rsidRPr="00413AD2">
        <w:rPr>
          <w:sz w:val="16"/>
          <w:szCs w:val="16"/>
        </w:rPr>
        <w:t>[20] Y. Shin, A. Meneely, L. Williams, and J. A. Osborne, "Evaluating complexity, code churn, and developer activity metrics as indicators of software vulnerabilities," IEEE Transactions on Software Engineering, vol. 37, no. 6, pp. 772-787, Nov. 2011.</w:t>
      </w:r>
    </w:p>
    <w:p w14:paraId="06F617C7" w14:textId="0DAF5057" w:rsidR="00413AD2" w:rsidRPr="00413AD2" w:rsidRDefault="00413AD2" w:rsidP="00413AD2">
      <w:pPr>
        <w:jc w:val="left"/>
        <w:rPr>
          <w:sz w:val="16"/>
          <w:szCs w:val="16"/>
        </w:rPr>
      </w:pPr>
      <w:r w:rsidRPr="00413AD2">
        <w:rPr>
          <w:sz w:val="16"/>
          <w:szCs w:val="16"/>
        </w:rPr>
        <w:t xml:space="preserve"> [21] M. Panda, A. Abraham, and M. R. Patra, "A hybrid intelligent approach for network intrusion detection," Procedia Engineering, vol. 30, pp. 1-9, 2012.</w:t>
      </w:r>
    </w:p>
    <w:p w14:paraId="29FAE903" w14:textId="77777777" w:rsidR="00413AD2" w:rsidRPr="00413AD2" w:rsidRDefault="00413AD2" w:rsidP="00413AD2">
      <w:pPr>
        <w:jc w:val="left"/>
        <w:rPr>
          <w:sz w:val="16"/>
          <w:szCs w:val="16"/>
        </w:rPr>
      </w:pPr>
      <w:r w:rsidRPr="00413AD2">
        <w:rPr>
          <w:sz w:val="16"/>
          <w:szCs w:val="16"/>
        </w:rPr>
        <w:t>[22] W. Lee, S. J. Stolfo, and K. W. Mok, "A data mining framework for building intrusion detection models," in Proc. 1999 IEEE Symposium on Security and Privacy, Oakland, CA, May 1999, pp. 120-132.</w:t>
      </w:r>
    </w:p>
    <w:p w14:paraId="19C9E904" w14:textId="19A9D2B4" w:rsidR="00413AD2" w:rsidRPr="00413AD2" w:rsidRDefault="00413AD2" w:rsidP="00413AD2">
      <w:pPr>
        <w:jc w:val="left"/>
        <w:rPr>
          <w:sz w:val="16"/>
          <w:szCs w:val="16"/>
        </w:rPr>
      </w:pPr>
      <w:r w:rsidRPr="00413AD2">
        <w:rPr>
          <w:sz w:val="16"/>
          <w:szCs w:val="16"/>
        </w:rPr>
        <w:t xml:space="preserve"> [23] C. Kolias, G. Kambourakis, A. Stavrou, and S. Gritzalis, "Intrusion detection in 802.11 networks: empirical evaluation of threats and a public dataset," IEEE Communications Surveys &amp; Tutorials, vol. 18, no. 1, pp. 184-208, First Quarter 2016.</w:t>
      </w:r>
    </w:p>
    <w:p w14:paraId="71FCF885" w14:textId="77777777" w:rsidR="00413AD2" w:rsidRPr="00413AD2" w:rsidRDefault="00413AD2" w:rsidP="00413AD2">
      <w:pPr>
        <w:jc w:val="left"/>
        <w:rPr>
          <w:sz w:val="16"/>
          <w:szCs w:val="16"/>
        </w:rPr>
      </w:pPr>
      <w:r w:rsidRPr="00413AD2">
        <w:rPr>
          <w:sz w:val="16"/>
          <w:szCs w:val="16"/>
        </w:rPr>
        <w:t>[24] B. Mukherjee, L. T. Heberlein, and K. N. Levitt, "Network intrusion detection," IEEE Network, vol. 8, no. 3, pp. 26-41, May 1994.</w:t>
      </w:r>
    </w:p>
    <w:p w14:paraId="10D6FDC1" w14:textId="2305069A" w:rsidR="00413AD2" w:rsidRPr="00413AD2" w:rsidRDefault="00413AD2" w:rsidP="00413AD2">
      <w:pPr>
        <w:jc w:val="left"/>
        <w:rPr>
          <w:sz w:val="16"/>
          <w:szCs w:val="16"/>
        </w:rPr>
      </w:pPr>
      <w:r w:rsidRPr="00413AD2">
        <w:rPr>
          <w:sz w:val="16"/>
          <w:szCs w:val="16"/>
        </w:rPr>
        <w:t xml:space="preserve"> [25] S. Forrest, S. A. Hofmeyr, A. Somayaji, and T. A. Longstaff, "A sense of self for Unix processes," in Proc. 1996 IEEE Symposium on Security and Privacy, Oakland, CA, May 1996, pp. 120-128.</w:t>
      </w:r>
    </w:p>
    <w:p w14:paraId="22D19D45" w14:textId="77777777" w:rsidR="00413AD2" w:rsidRPr="00413AD2" w:rsidRDefault="00413AD2" w:rsidP="00413AD2">
      <w:pPr>
        <w:jc w:val="left"/>
        <w:rPr>
          <w:sz w:val="16"/>
          <w:szCs w:val="16"/>
        </w:rPr>
      </w:pPr>
      <w:r w:rsidRPr="00413AD2">
        <w:rPr>
          <w:sz w:val="16"/>
          <w:szCs w:val="16"/>
        </w:rPr>
        <w:t>[26] H. Debar, M. Dacier, and A. Wespi, "Towards a taxonomy of intrusion-detection systems," Computer Networks, vol. 31, no. 8, pp. 805-822, Apr. 1999.</w:t>
      </w:r>
    </w:p>
    <w:p w14:paraId="6050187C" w14:textId="5E8B36D5" w:rsidR="00413AD2" w:rsidRPr="00413AD2" w:rsidRDefault="00413AD2" w:rsidP="00413AD2">
      <w:pPr>
        <w:jc w:val="left"/>
        <w:rPr>
          <w:sz w:val="16"/>
          <w:szCs w:val="16"/>
        </w:rPr>
      </w:pPr>
    </w:p>
    <w:p w14:paraId="4D4B6D4D" w14:textId="641760A4" w:rsidR="00413AD2" w:rsidRPr="00413AD2" w:rsidRDefault="00413AD2" w:rsidP="00413AD2">
      <w:pPr>
        <w:jc w:val="left"/>
        <w:rPr>
          <w:sz w:val="16"/>
          <w:szCs w:val="16"/>
        </w:rPr>
      </w:pPr>
    </w:p>
    <w:p w14:paraId="61AD0DE5" w14:textId="77777777" w:rsidR="00413AD2" w:rsidRDefault="00413AD2" w:rsidP="00413AD2"/>
    <w:p w14:paraId="46FAEBBF" w14:textId="77777777" w:rsidR="00413AD2" w:rsidRDefault="00413AD2" w:rsidP="00413AD2"/>
    <w:p w14:paraId="2332EB42" w14:textId="77777777" w:rsidR="00413AD2" w:rsidRDefault="00413AD2" w:rsidP="00413AD2"/>
    <w:p w14:paraId="737819E4" w14:textId="77777777" w:rsidR="00413AD2" w:rsidRDefault="00413AD2" w:rsidP="00413AD2"/>
    <w:p w14:paraId="618634A4" w14:textId="77777777" w:rsidR="00413AD2" w:rsidRDefault="00413AD2" w:rsidP="00413AD2">
      <w:pPr>
        <w:jc w:val="left"/>
      </w:pPr>
      <w:r>
        <w:br w:type="page"/>
      </w:r>
    </w:p>
    <w:p w14:paraId="749E584F" w14:textId="77777777" w:rsidR="00413AD2" w:rsidRPr="00CA4392" w:rsidRDefault="00413AD2" w:rsidP="00413AD2">
      <w:pPr>
        <w:pStyle w:val="Author"/>
        <w:spacing w:before="100" w:beforeAutospacing="1" w:after="100" w:afterAutospacing="1" w:line="120" w:lineRule="auto"/>
        <w:jc w:val="both"/>
        <w:rPr>
          <w:sz w:val="16"/>
          <w:szCs w:val="16"/>
        </w:rPr>
        <w:sectPr w:rsidR="00413AD2" w:rsidRPr="00CA4392" w:rsidSect="00413AD2">
          <w:footerReference w:type="first" r:id="rId11"/>
          <w:type w:val="continuous"/>
          <w:pgSz w:w="11906" w:h="16838" w:code="9"/>
          <w:pgMar w:top="540" w:right="893" w:bottom="1440" w:left="893" w:header="720" w:footer="720" w:gutter="0"/>
          <w:cols w:space="720"/>
          <w:titlePg/>
          <w:docGrid w:linePitch="360"/>
        </w:sectPr>
      </w:pPr>
    </w:p>
    <w:p w14:paraId="79AEBBA4" w14:textId="77777777" w:rsidR="00413AD2" w:rsidRDefault="00413AD2" w:rsidP="00413AD2">
      <w:pPr>
        <w:pStyle w:val="Author"/>
        <w:spacing w:before="100" w:beforeAutospacing="1"/>
        <w:jc w:val="both"/>
        <w:rPr>
          <w:sz w:val="18"/>
          <w:szCs w:val="18"/>
        </w:rPr>
      </w:pPr>
    </w:p>
    <w:p w14:paraId="3F6186FA" w14:textId="77777777" w:rsidR="00413AD2" w:rsidRPr="005B520E" w:rsidRDefault="00413AD2" w:rsidP="00413AD2">
      <w:pPr>
        <w:pStyle w:val="Author"/>
        <w:spacing w:before="100" w:beforeAutospacing="1"/>
        <w:sectPr w:rsidR="00413AD2" w:rsidRPr="005B520E" w:rsidSect="00413AD2">
          <w:type w:val="continuous"/>
          <w:pgSz w:w="11906" w:h="16838" w:code="9"/>
          <w:pgMar w:top="450" w:right="893" w:bottom="1440" w:left="893" w:header="720" w:footer="720" w:gutter="0"/>
          <w:cols w:num="3" w:space="720"/>
          <w:docGrid w:linePitch="360"/>
        </w:sectPr>
      </w:pPr>
      <w:r>
        <w:rPr>
          <w:sz w:val="18"/>
          <w:szCs w:val="18"/>
        </w:rPr>
        <w:br w:type="column"/>
      </w:r>
    </w:p>
    <w:p w14:paraId="0F014C35" w14:textId="77777777" w:rsidR="00413AD2" w:rsidRDefault="00413AD2" w:rsidP="00413AD2">
      <w:pPr>
        <w:jc w:val="both"/>
      </w:pPr>
    </w:p>
    <w:p w14:paraId="7F0F5E01" w14:textId="7AE772A2" w:rsidR="00826F4B" w:rsidRDefault="00826F4B" w:rsidP="00413AD2">
      <w:pPr>
        <w:pStyle w:val="Heading5"/>
        <w:jc w:val="left"/>
      </w:pPr>
    </w:p>
    <w:p w14:paraId="7179FB0B" w14:textId="2002BDF4" w:rsidR="0049132D" w:rsidRDefault="0049132D" w:rsidP="005B520E"/>
    <w:sectPr w:rsidR="0049132D"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C591E" w14:textId="77777777" w:rsidR="00C57C95" w:rsidRDefault="00C57C95" w:rsidP="001A3B3D">
      <w:r>
        <w:separator/>
      </w:r>
    </w:p>
  </w:endnote>
  <w:endnote w:type="continuationSeparator" w:id="0">
    <w:p w14:paraId="18992ADC" w14:textId="77777777" w:rsidR="00C57C95" w:rsidRDefault="00C57C95"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27EDF" w14:textId="47724AAA" w:rsidR="001A3B3D" w:rsidRPr="006F6D3D" w:rsidRDefault="001A3B3D" w:rsidP="0056610F">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646E0" w14:textId="77777777" w:rsidR="00826F4B" w:rsidRPr="006F6D3D" w:rsidRDefault="00826F4B" w:rsidP="0056610F">
    <w:pPr>
      <w:pStyle w:val="Footer"/>
      <w:jc w:val="lef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765F2" w14:textId="77777777" w:rsidR="00413AD2" w:rsidRPr="006F6D3D" w:rsidRDefault="00413AD2"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91412F" w14:textId="77777777" w:rsidR="00C57C95" w:rsidRDefault="00C57C95" w:rsidP="001A3B3D">
      <w:r>
        <w:separator/>
      </w:r>
    </w:p>
  </w:footnote>
  <w:footnote w:type="continuationSeparator" w:id="0">
    <w:p w14:paraId="0831BA66" w14:textId="77777777" w:rsidR="00C57C95" w:rsidRDefault="00C57C95"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596175"/>
    <w:multiLevelType w:val="hybridMultilevel"/>
    <w:tmpl w:val="2C8A16A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C956346"/>
    <w:multiLevelType w:val="hybridMultilevel"/>
    <w:tmpl w:val="7BC24326"/>
    <w:lvl w:ilvl="0" w:tplc="A2B6B9FA">
      <w:start w:val="1"/>
      <w:numFmt w:val="upperRoman"/>
      <w:lvlText w:val="%1."/>
      <w:lvlJc w:val="left"/>
      <w:pPr>
        <w:ind w:left="1296" w:hanging="72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36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252091B"/>
    <w:multiLevelType w:val="hybridMultilevel"/>
    <w:tmpl w:val="EA86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6463954"/>
    <w:multiLevelType w:val="hybridMultilevel"/>
    <w:tmpl w:val="3F10C498"/>
    <w:lvl w:ilvl="0" w:tplc="A2B6B9FA">
      <w:start w:val="1"/>
      <w:numFmt w:val="upp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031998051">
    <w:abstractNumId w:val="15"/>
  </w:num>
  <w:num w:numId="2" w16cid:durableId="524560046">
    <w:abstractNumId w:val="22"/>
  </w:num>
  <w:num w:numId="3" w16cid:durableId="220486390">
    <w:abstractNumId w:val="14"/>
  </w:num>
  <w:num w:numId="4" w16cid:durableId="1638291038">
    <w:abstractNumId w:val="18"/>
  </w:num>
  <w:num w:numId="5" w16cid:durableId="709064217">
    <w:abstractNumId w:val="18"/>
  </w:num>
  <w:num w:numId="6" w16cid:durableId="2085251831">
    <w:abstractNumId w:val="18"/>
  </w:num>
  <w:num w:numId="7" w16cid:durableId="1223175933">
    <w:abstractNumId w:val="18"/>
  </w:num>
  <w:num w:numId="8" w16cid:durableId="1249849278">
    <w:abstractNumId w:val="21"/>
  </w:num>
  <w:num w:numId="9" w16cid:durableId="1002972850">
    <w:abstractNumId w:val="23"/>
  </w:num>
  <w:num w:numId="10" w16cid:durableId="600837205">
    <w:abstractNumId w:val="16"/>
  </w:num>
  <w:num w:numId="11" w16cid:durableId="1166285613">
    <w:abstractNumId w:val="13"/>
  </w:num>
  <w:num w:numId="12" w16cid:durableId="1189030936">
    <w:abstractNumId w:val="12"/>
  </w:num>
  <w:num w:numId="13" w16cid:durableId="1269580859">
    <w:abstractNumId w:val="0"/>
  </w:num>
  <w:num w:numId="14" w16cid:durableId="1351764088">
    <w:abstractNumId w:val="10"/>
  </w:num>
  <w:num w:numId="15" w16cid:durableId="1467821147">
    <w:abstractNumId w:val="8"/>
  </w:num>
  <w:num w:numId="16" w16cid:durableId="1623463273">
    <w:abstractNumId w:val="7"/>
  </w:num>
  <w:num w:numId="17" w16cid:durableId="272397483">
    <w:abstractNumId w:val="6"/>
  </w:num>
  <w:num w:numId="18" w16cid:durableId="209151907">
    <w:abstractNumId w:val="5"/>
  </w:num>
  <w:num w:numId="19" w16cid:durableId="489062247">
    <w:abstractNumId w:val="9"/>
  </w:num>
  <w:num w:numId="20" w16cid:durableId="1886942009">
    <w:abstractNumId w:val="4"/>
  </w:num>
  <w:num w:numId="21" w16cid:durableId="456217524">
    <w:abstractNumId w:val="3"/>
  </w:num>
  <w:num w:numId="22" w16cid:durableId="1900478782">
    <w:abstractNumId w:val="2"/>
  </w:num>
  <w:num w:numId="23" w16cid:durableId="1225020676">
    <w:abstractNumId w:val="1"/>
  </w:num>
  <w:num w:numId="24" w16cid:durableId="1299528806">
    <w:abstractNumId w:val="20"/>
  </w:num>
  <w:num w:numId="25" w16cid:durableId="1264535588">
    <w:abstractNumId w:val="24"/>
  </w:num>
  <w:num w:numId="26" w16cid:durableId="741637916">
    <w:abstractNumId w:val="17"/>
  </w:num>
  <w:num w:numId="27" w16cid:durableId="678581100">
    <w:abstractNumId w:val="11"/>
  </w:num>
  <w:num w:numId="28" w16cid:durableId="1358434169">
    <w:abstractNumId w:val="19"/>
  </w:num>
  <w:num w:numId="29" w16cid:durableId="5347779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148467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1D6"/>
    <w:rsid w:val="0004781E"/>
    <w:rsid w:val="0008758A"/>
    <w:rsid w:val="000A07D2"/>
    <w:rsid w:val="000C1E68"/>
    <w:rsid w:val="000D15B8"/>
    <w:rsid w:val="000D60E6"/>
    <w:rsid w:val="000E1474"/>
    <w:rsid w:val="00122C04"/>
    <w:rsid w:val="0016231B"/>
    <w:rsid w:val="0017280A"/>
    <w:rsid w:val="001A2EFD"/>
    <w:rsid w:val="001A3B3D"/>
    <w:rsid w:val="001B67DC"/>
    <w:rsid w:val="001D01F1"/>
    <w:rsid w:val="002254A9"/>
    <w:rsid w:val="00233D97"/>
    <w:rsid w:val="002347A2"/>
    <w:rsid w:val="002850E3"/>
    <w:rsid w:val="002E45DE"/>
    <w:rsid w:val="002F18F7"/>
    <w:rsid w:val="003335A2"/>
    <w:rsid w:val="00353634"/>
    <w:rsid w:val="00354FCF"/>
    <w:rsid w:val="003A19E2"/>
    <w:rsid w:val="003B24D2"/>
    <w:rsid w:val="003B4E04"/>
    <w:rsid w:val="003F5A08"/>
    <w:rsid w:val="00413AD2"/>
    <w:rsid w:val="00420716"/>
    <w:rsid w:val="004325FB"/>
    <w:rsid w:val="004432BA"/>
    <w:rsid w:val="0044407E"/>
    <w:rsid w:val="00447BB9"/>
    <w:rsid w:val="0046031D"/>
    <w:rsid w:val="00482B0C"/>
    <w:rsid w:val="0049132D"/>
    <w:rsid w:val="004D72B5"/>
    <w:rsid w:val="004F4280"/>
    <w:rsid w:val="00551B7F"/>
    <w:rsid w:val="005551B5"/>
    <w:rsid w:val="0056610F"/>
    <w:rsid w:val="00575BCA"/>
    <w:rsid w:val="005B0344"/>
    <w:rsid w:val="005B2B32"/>
    <w:rsid w:val="005B520E"/>
    <w:rsid w:val="005D1913"/>
    <w:rsid w:val="005D66E6"/>
    <w:rsid w:val="005D6887"/>
    <w:rsid w:val="005D7839"/>
    <w:rsid w:val="005E2800"/>
    <w:rsid w:val="005F29C6"/>
    <w:rsid w:val="005F6539"/>
    <w:rsid w:val="00605825"/>
    <w:rsid w:val="00625541"/>
    <w:rsid w:val="00636FE2"/>
    <w:rsid w:val="00645D22"/>
    <w:rsid w:val="00651A08"/>
    <w:rsid w:val="00654204"/>
    <w:rsid w:val="00670434"/>
    <w:rsid w:val="00684896"/>
    <w:rsid w:val="006934F4"/>
    <w:rsid w:val="006B6B66"/>
    <w:rsid w:val="006C398A"/>
    <w:rsid w:val="006F6D3D"/>
    <w:rsid w:val="0071267A"/>
    <w:rsid w:val="00715BEA"/>
    <w:rsid w:val="0073196A"/>
    <w:rsid w:val="00740EEA"/>
    <w:rsid w:val="00794804"/>
    <w:rsid w:val="007B33F1"/>
    <w:rsid w:val="007B6DDA"/>
    <w:rsid w:val="007C0308"/>
    <w:rsid w:val="007C2FF2"/>
    <w:rsid w:val="007D6232"/>
    <w:rsid w:val="007F1F99"/>
    <w:rsid w:val="007F407A"/>
    <w:rsid w:val="007F768F"/>
    <w:rsid w:val="0080791D"/>
    <w:rsid w:val="00826F4B"/>
    <w:rsid w:val="00836367"/>
    <w:rsid w:val="0084658A"/>
    <w:rsid w:val="008662F4"/>
    <w:rsid w:val="00873603"/>
    <w:rsid w:val="0087551D"/>
    <w:rsid w:val="008762CA"/>
    <w:rsid w:val="008A2C7D"/>
    <w:rsid w:val="008B2C9C"/>
    <w:rsid w:val="008C4B23"/>
    <w:rsid w:val="008F6E2C"/>
    <w:rsid w:val="0090409F"/>
    <w:rsid w:val="009303D9"/>
    <w:rsid w:val="00933C64"/>
    <w:rsid w:val="00972203"/>
    <w:rsid w:val="0098572B"/>
    <w:rsid w:val="009A3EA7"/>
    <w:rsid w:val="009E0D57"/>
    <w:rsid w:val="009F1D79"/>
    <w:rsid w:val="009F2FAC"/>
    <w:rsid w:val="009F66B3"/>
    <w:rsid w:val="00A059B3"/>
    <w:rsid w:val="00A67E51"/>
    <w:rsid w:val="00A73888"/>
    <w:rsid w:val="00A853B4"/>
    <w:rsid w:val="00AE3409"/>
    <w:rsid w:val="00B11A60"/>
    <w:rsid w:val="00B22613"/>
    <w:rsid w:val="00B54D1E"/>
    <w:rsid w:val="00B768D1"/>
    <w:rsid w:val="00BA101E"/>
    <w:rsid w:val="00BA1025"/>
    <w:rsid w:val="00BC3420"/>
    <w:rsid w:val="00BD670B"/>
    <w:rsid w:val="00BE3DA0"/>
    <w:rsid w:val="00BE7D3C"/>
    <w:rsid w:val="00BF14A5"/>
    <w:rsid w:val="00BF5FF6"/>
    <w:rsid w:val="00C0207F"/>
    <w:rsid w:val="00C16117"/>
    <w:rsid w:val="00C3075A"/>
    <w:rsid w:val="00C57C95"/>
    <w:rsid w:val="00C6315E"/>
    <w:rsid w:val="00C919A4"/>
    <w:rsid w:val="00CA4392"/>
    <w:rsid w:val="00CB4861"/>
    <w:rsid w:val="00CB4888"/>
    <w:rsid w:val="00CC393F"/>
    <w:rsid w:val="00CD33EF"/>
    <w:rsid w:val="00D065ED"/>
    <w:rsid w:val="00D2176E"/>
    <w:rsid w:val="00D24A7F"/>
    <w:rsid w:val="00D576F2"/>
    <w:rsid w:val="00D632BE"/>
    <w:rsid w:val="00D72D06"/>
    <w:rsid w:val="00D7522C"/>
    <w:rsid w:val="00D7536F"/>
    <w:rsid w:val="00D76668"/>
    <w:rsid w:val="00D854B6"/>
    <w:rsid w:val="00E07383"/>
    <w:rsid w:val="00E165BC"/>
    <w:rsid w:val="00E35E88"/>
    <w:rsid w:val="00E551A4"/>
    <w:rsid w:val="00E57815"/>
    <w:rsid w:val="00E61E12"/>
    <w:rsid w:val="00E7596C"/>
    <w:rsid w:val="00E871DE"/>
    <w:rsid w:val="00E878F2"/>
    <w:rsid w:val="00ED0149"/>
    <w:rsid w:val="00ED22B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6E29DE"/>
  <w15:chartTrackingRefBased/>
  <w15:docId w15:val="{9750CBD7-9952-4AA5-AAFC-753F9A15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Emphasis">
    <w:name w:val="Emphasis"/>
    <w:basedOn w:val="DefaultParagraphFont"/>
    <w:uiPriority w:val="20"/>
    <w:qFormat/>
    <w:rsid w:val="00A67E51"/>
    <w:rPr>
      <w:i/>
      <w:iCs/>
    </w:rPr>
  </w:style>
  <w:style w:type="character" w:customStyle="1" w:styleId="katex-mathml">
    <w:name w:val="katex-mathml"/>
    <w:basedOn w:val="DefaultParagraphFont"/>
    <w:rsid w:val="00CB4888"/>
  </w:style>
  <w:style w:type="character" w:customStyle="1" w:styleId="mord">
    <w:name w:val="mord"/>
    <w:basedOn w:val="DefaultParagraphFont"/>
    <w:rsid w:val="00CB4888"/>
  </w:style>
  <w:style w:type="character" w:customStyle="1" w:styleId="mopen">
    <w:name w:val="mopen"/>
    <w:basedOn w:val="DefaultParagraphFont"/>
    <w:rsid w:val="00CB4888"/>
  </w:style>
  <w:style w:type="character" w:customStyle="1" w:styleId="mclose">
    <w:name w:val="mclose"/>
    <w:basedOn w:val="DefaultParagraphFont"/>
    <w:rsid w:val="00CB4888"/>
  </w:style>
  <w:style w:type="character" w:styleId="PlaceholderText">
    <w:name w:val="Placeholder Text"/>
    <w:basedOn w:val="DefaultParagraphFont"/>
    <w:uiPriority w:val="99"/>
    <w:semiHidden/>
    <w:rsid w:val="0016231B"/>
    <w:rPr>
      <w:color w:val="666666"/>
    </w:rPr>
  </w:style>
  <w:style w:type="paragraph" w:styleId="ListParagraph">
    <w:name w:val="List Paragraph"/>
    <w:basedOn w:val="Normal"/>
    <w:uiPriority w:val="34"/>
    <w:qFormat/>
    <w:rsid w:val="005B2B32"/>
    <w:pPr>
      <w:ind w:left="720"/>
      <w:contextualSpacing/>
    </w:pPr>
  </w:style>
  <w:style w:type="character" w:styleId="Hyperlink">
    <w:name w:val="Hyperlink"/>
    <w:basedOn w:val="DefaultParagraphFont"/>
    <w:rsid w:val="007F407A"/>
    <w:rPr>
      <w:color w:val="467886" w:themeColor="hyperlink"/>
      <w:u w:val="single"/>
    </w:rPr>
  </w:style>
  <w:style w:type="character" w:styleId="UnresolvedMention">
    <w:name w:val="Unresolved Mention"/>
    <w:basedOn w:val="DefaultParagraphFont"/>
    <w:uiPriority w:val="99"/>
    <w:semiHidden/>
    <w:unhideWhenUsed/>
    <w:rsid w:val="007F40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085119">
      <w:bodyDiv w:val="1"/>
      <w:marLeft w:val="0"/>
      <w:marRight w:val="0"/>
      <w:marTop w:val="0"/>
      <w:marBottom w:val="0"/>
      <w:divBdr>
        <w:top w:val="none" w:sz="0" w:space="0" w:color="auto"/>
        <w:left w:val="none" w:sz="0" w:space="0" w:color="auto"/>
        <w:bottom w:val="none" w:sz="0" w:space="0" w:color="auto"/>
        <w:right w:val="none" w:sz="0" w:space="0" w:color="auto"/>
      </w:divBdr>
    </w:div>
    <w:div w:id="244843951">
      <w:bodyDiv w:val="1"/>
      <w:marLeft w:val="0"/>
      <w:marRight w:val="0"/>
      <w:marTop w:val="0"/>
      <w:marBottom w:val="0"/>
      <w:divBdr>
        <w:top w:val="none" w:sz="0" w:space="0" w:color="auto"/>
        <w:left w:val="none" w:sz="0" w:space="0" w:color="auto"/>
        <w:bottom w:val="none" w:sz="0" w:space="0" w:color="auto"/>
        <w:right w:val="none" w:sz="0" w:space="0" w:color="auto"/>
      </w:divBdr>
    </w:div>
    <w:div w:id="264072316">
      <w:bodyDiv w:val="1"/>
      <w:marLeft w:val="0"/>
      <w:marRight w:val="0"/>
      <w:marTop w:val="0"/>
      <w:marBottom w:val="0"/>
      <w:divBdr>
        <w:top w:val="none" w:sz="0" w:space="0" w:color="auto"/>
        <w:left w:val="none" w:sz="0" w:space="0" w:color="auto"/>
        <w:bottom w:val="none" w:sz="0" w:space="0" w:color="auto"/>
        <w:right w:val="none" w:sz="0" w:space="0" w:color="auto"/>
      </w:divBdr>
    </w:div>
    <w:div w:id="454524381">
      <w:bodyDiv w:val="1"/>
      <w:marLeft w:val="0"/>
      <w:marRight w:val="0"/>
      <w:marTop w:val="0"/>
      <w:marBottom w:val="0"/>
      <w:divBdr>
        <w:top w:val="none" w:sz="0" w:space="0" w:color="auto"/>
        <w:left w:val="none" w:sz="0" w:space="0" w:color="auto"/>
        <w:bottom w:val="none" w:sz="0" w:space="0" w:color="auto"/>
        <w:right w:val="none" w:sz="0" w:space="0" w:color="auto"/>
      </w:divBdr>
    </w:div>
    <w:div w:id="676351136">
      <w:bodyDiv w:val="1"/>
      <w:marLeft w:val="0"/>
      <w:marRight w:val="0"/>
      <w:marTop w:val="0"/>
      <w:marBottom w:val="0"/>
      <w:divBdr>
        <w:top w:val="none" w:sz="0" w:space="0" w:color="auto"/>
        <w:left w:val="none" w:sz="0" w:space="0" w:color="auto"/>
        <w:bottom w:val="none" w:sz="0" w:space="0" w:color="auto"/>
        <w:right w:val="none" w:sz="0" w:space="0" w:color="auto"/>
      </w:divBdr>
    </w:div>
    <w:div w:id="722681308">
      <w:bodyDiv w:val="1"/>
      <w:marLeft w:val="0"/>
      <w:marRight w:val="0"/>
      <w:marTop w:val="0"/>
      <w:marBottom w:val="0"/>
      <w:divBdr>
        <w:top w:val="none" w:sz="0" w:space="0" w:color="auto"/>
        <w:left w:val="none" w:sz="0" w:space="0" w:color="auto"/>
        <w:bottom w:val="none" w:sz="0" w:space="0" w:color="auto"/>
        <w:right w:val="none" w:sz="0" w:space="0" w:color="auto"/>
      </w:divBdr>
    </w:div>
    <w:div w:id="948925450">
      <w:bodyDiv w:val="1"/>
      <w:marLeft w:val="0"/>
      <w:marRight w:val="0"/>
      <w:marTop w:val="0"/>
      <w:marBottom w:val="0"/>
      <w:divBdr>
        <w:top w:val="none" w:sz="0" w:space="0" w:color="auto"/>
        <w:left w:val="none" w:sz="0" w:space="0" w:color="auto"/>
        <w:bottom w:val="none" w:sz="0" w:space="0" w:color="auto"/>
        <w:right w:val="none" w:sz="0" w:space="0" w:color="auto"/>
      </w:divBdr>
    </w:div>
    <w:div w:id="1126048587">
      <w:bodyDiv w:val="1"/>
      <w:marLeft w:val="0"/>
      <w:marRight w:val="0"/>
      <w:marTop w:val="0"/>
      <w:marBottom w:val="0"/>
      <w:divBdr>
        <w:top w:val="none" w:sz="0" w:space="0" w:color="auto"/>
        <w:left w:val="none" w:sz="0" w:space="0" w:color="auto"/>
        <w:bottom w:val="none" w:sz="0" w:space="0" w:color="auto"/>
        <w:right w:val="none" w:sz="0" w:space="0" w:color="auto"/>
      </w:divBdr>
    </w:div>
    <w:div w:id="1155687932">
      <w:bodyDiv w:val="1"/>
      <w:marLeft w:val="0"/>
      <w:marRight w:val="0"/>
      <w:marTop w:val="0"/>
      <w:marBottom w:val="0"/>
      <w:divBdr>
        <w:top w:val="none" w:sz="0" w:space="0" w:color="auto"/>
        <w:left w:val="none" w:sz="0" w:space="0" w:color="auto"/>
        <w:bottom w:val="none" w:sz="0" w:space="0" w:color="auto"/>
        <w:right w:val="none" w:sz="0" w:space="0" w:color="auto"/>
      </w:divBdr>
    </w:div>
    <w:div w:id="1264221769">
      <w:bodyDiv w:val="1"/>
      <w:marLeft w:val="0"/>
      <w:marRight w:val="0"/>
      <w:marTop w:val="0"/>
      <w:marBottom w:val="0"/>
      <w:divBdr>
        <w:top w:val="none" w:sz="0" w:space="0" w:color="auto"/>
        <w:left w:val="none" w:sz="0" w:space="0" w:color="auto"/>
        <w:bottom w:val="none" w:sz="0" w:space="0" w:color="auto"/>
        <w:right w:val="none" w:sz="0" w:space="0" w:color="auto"/>
      </w:divBdr>
      <w:divsChild>
        <w:div w:id="1643728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79925">
      <w:bodyDiv w:val="1"/>
      <w:marLeft w:val="0"/>
      <w:marRight w:val="0"/>
      <w:marTop w:val="0"/>
      <w:marBottom w:val="0"/>
      <w:divBdr>
        <w:top w:val="none" w:sz="0" w:space="0" w:color="auto"/>
        <w:left w:val="none" w:sz="0" w:space="0" w:color="auto"/>
        <w:bottom w:val="none" w:sz="0" w:space="0" w:color="auto"/>
        <w:right w:val="none" w:sz="0" w:space="0" w:color="auto"/>
      </w:divBdr>
    </w:div>
    <w:div w:id="1591350831">
      <w:bodyDiv w:val="1"/>
      <w:marLeft w:val="0"/>
      <w:marRight w:val="0"/>
      <w:marTop w:val="0"/>
      <w:marBottom w:val="0"/>
      <w:divBdr>
        <w:top w:val="none" w:sz="0" w:space="0" w:color="auto"/>
        <w:left w:val="none" w:sz="0" w:space="0" w:color="auto"/>
        <w:bottom w:val="none" w:sz="0" w:space="0" w:color="auto"/>
        <w:right w:val="none" w:sz="0" w:space="0" w:color="auto"/>
      </w:divBdr>
      <w:divsChild>
        <w:div w:id="203557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4586">
      <w:bodyDiv w:val="1"/>
      <w:marLeft w:val="0"/>
      <w:marRight w:val="0"/>
      <w:marTop w:val="0"/>
      <w:marBottom w:val="0"/>
      <w:divBdr>
        <w:top w:val="none" w:sz="0" w:space="0" w:color="auto"/>
        <w:left w:val="none" w:sz="0" w:space="0" w:color="auto"/>
        <w:bottom w:val="none" w:sz="0" w:space="0" w:color="auto"/>
        <w:right w:val="none" w:sz="0" w:space="0" w:color="auto"/>
      </w:divBdr>
    </w:div>
    <w:div w:id="1742749340">
      <w:bodyDiv w:val="1"/>
      <w:marLeft w:val="0"/>
      <w:marRight w:val="0"/>
      <w:marTop w:val="0"/>
      <w:marBottom w:val="0"/>
      <w:divBdr>
        <w:top w:val="none" w:sz="0" w:space="0" w:color="auto"/>
        <w:left w:val="none" w:sz="0" w:space="0" w:color="auto"/>
        <w:bottom w:val="none" w:sz="0" w:space="0" w:color="auto"/>
        <w:right w:val="none" w:sz="0" w:space="0" w:color="auto"/>
      </w:divBdr>
    </w:div>
    <w:div w:id="1768310515">
      <w:bodyDiv w:val="1"/>
      <w:marLeft w:val="0"/>
      <w:marRight w:val="0"/>
      <w:marTop w:val="0"/>
      <w:marBottom w:val="0"/>
      <w:divBdr>
        <w:top w:val="none" w:sz="0" w:space="0" w:color="auto"/>
        <w:left w:val="none" w:sz="0" w:space="0" w:color="auto"/>
        <w:bottom w:val="none" w:sz="0" w:space="0" w:color="auto"/>
        <w:right w:val="none" w:sz="0" w:space="0" w:color="auto"/>
      </w:divBdr>
      <w:divsChild>
        <w:div w:id="624117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834239">
      <w:bodyDiv w:val="1"/>
      <w:marLeft w:val="0"/>
      <w:marRight w:val="0"/>
      <w:marTop w:val="0"/>
      <w:marBottom w:val="0"/>
      <w:divBdr>
        <w:top w:val="none" w:sz="0" w:space="0" w:color="auto"/>
        <w:left w:val="none" w:sz="0" w:space="0" w:color="auto"/>
        <w:bottom w:val="none" w:sz="0" w:space="0" w:color="auto"/>
        <w:right w:val="none" w:sz="0" w:space="0" w:color="auto"/>
      </w:divBdr>
    </w:div>
    <w:div w:id="1900969300">
      <w:bodyDiv w:val="1"/>
      <w:marLeft w:val="0"/>
      <w:marRight w:val="0"/>
      <w:marTop w:val="0"/>
      <w:marBottom w:val="0"/>
      <w:divBdr>
        <w:top w:val="none" w:sz="0" w:space="0" w:color="auto"/>
        <w:left w:val="none" w:sz="0" w:space="0" w:color="auto"/>
        <w:bottom w:val="none" w:sz="0" w:space="0" w:color="auto"/>
        <w:right w:val="none" w:sz="0" w:space="0" w:color="auto"/>
      </w:divBdr>
    </w:div>
    <w:div w:id="201067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444019967@stu.bu.edu.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6</Pages>
  <Words>2737</Words>
  <Characters>15605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باسل بن عبدالله بن محمد الفهمي الزهراني</cp:lastModifiedBy>
  <cp:revision>19</cp:revision>
  <dcterms:created xsi:type="dcterms:W3CDTF">2025-06-18T22:52:00Z</dcterms:created>
  <dcterms:modified xsi:type="dcterms:W3CDTF">2025-06-27T16:35:00Z</dcterms:modified>
</cp:coreProperties>
</file>