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C6B1E" w:sz="12"/>
              <w:left w:val="single" w:color="9C6B1E" w:sz="24"/>
              <w:bottom w:val="single" w:color="D2D6DE" w:sz="4"/>
              <w:right w:val="single" w:color="D2D6DE" w:sz="4"/>
            </w:tcBorders>
            <w:shd w:fill="F5F6F8" w:val="clear"/>
            <w:tcMar>
              <w:top w:type="dxa" w:w="160"/>
              <w:left w:type="dxa" w:w="200"/>
              <w:bottom w:type="dxa" w:w="140"/>
              <w:right w:type="dxa" w:w="200"/>
            </w:tcMar>
          </w:tcPr>
          <w:p>
            <w:pPr>
              <w:spacing w:after="60"/>
            </w:pPr>
            <w:r>
              <w:rPr>
                <w:b/>
                <w:bCs/>
                <w:color w:val="141821"/>
                <w:sz w:val="28"/>
                <w:szCs w:val="28"/>
                <w:rFonts w:ascii="Arial" w:cs="Arial" w:eastAsia="Arial" w:hAnsi="Arial"/>
              </w:rPr>
              <w:t xml:space="preserve">Activation Forensics: Structural Fingerprints and System-Channel Effects in Secret-Loyalty Auditing</w:t>
            </w:r>
          </w:p>
          <w:p>
            <w:pPr>
              <w:spacing w:after="40"/>
            </w:pPr>
            <w:r>
              <w:rPr>
                <w:color w:val="5A6473"/>
                <w:sz w:val="17"/>
                <w:szCs w:val="17"/>
                <w:rFonts w:ascii="Arial" w:cs="Arial" w:eastAsia="Arial" w:hAnsi="Arial"/>
              </w:rPr>
              <w:t xml:space="preserve">Secret Loyalties Sprint · Apart Research × Formation Research · Berlin · 24–26 July 2026</w:t>
            </w:r>
          </w:p>
          <w:p>
            <w:r>
              <w:rPr>
                <w:i/>
                <w:iCs/>
                <w:color w:val="9C6B1E"/>
                <w:sz w:val="16"/>
                <w:szCs w:val="16"/>
                <w:rFonts w:ascii="Arial" w:cs="Arial" w:eastAsia="Arial" w:hAnsi="Arial"/>
              </w:rPr>
              <w:t xml:space="preserve">Primary: Track 2 Detection &amp; Auditing   ·   Supporting: Track 1 Model Organisms</w:t>
            </w:r>
          </w:p>
        </w:tc>
      </w:tr>
      <w:tr>
        <w:tc>
          <w:tcPr>
            <w:tcW w:type="dxa" w:w="10080"/>
            <w:tcBorders>
              <w:top w:val="none" w:color="FFFFFF" w:sz="0"/>
              <w:left w:val="single" w:color="9C6B1E" w:sz="24"/>
              <w:bottom w:val="single" w:color="9C6B1E" w:sz="10"/>
              <w:right w:val="single" w:color="D2D6DE" w:sz="4"/>
            </w:tcBorders>
            <w:shd w:fill="FFFEF8" w:val="clear"/>
            <w:tcMar>
              <w:top w:type="dxa" w:w="120"/>
              <w:left w:type="dxa" w:w="200"/>
              <w:bottom w:type="dxa" w:w="120"/>
              <w:right w:type="dxa" w:w="200"/>
            </w:tcMar>
          </w:tcPr>
          <w:p>
            <w:pPr>
              <w:spacing w:after="60"/>
            </w:pPr>
            <w:r>
              <w:rPr>
                <w:b/>
                <w:bCs/>
                <w:color w:val="9C6B1E"/>
                <w:sz w:val="18"/>
                <w:szCs w:val="18"/>
                <w:rFonts w:ascii="Arial" w:cs="Arial" w:eastAsia="Arial" w:hAnsi="Arial"/>
              </w:rPr>
              <w:t xml:space="preserve">Abstract</w:t>
            </w:r>
          </w:p>
          <w:p>
            <w:pPr>
              <w:spacing w:line="276"/>
            </w:pPr>
            <w:r>
              <w:rPr>
                <w:color w:val="141821"/>
                <w:sz w:val="19"/>
                <w:szCs w:val="19"/>
                <w:rFonts w:ascii="Arial" w:cs="Arial" w:eastAsia="Arial" w:hAnsi="Arial"/>
              </w:rPr>
              <w:t xml:space="preserve">We present Activation Forensics for the Secret Loyalties challenge organisms under Track 2 (Detection &amp; Auditing), with supporting Track 1 organism measurements. Weight-space forensics shows organisms A and B share an attention-only LoRA-shaped edit (112/339 tensors; median rank99 ≈ 13), distinct from disclosed poison-sweep models (196/339; attention+MLP; rank ≈ 16). A black-box interrogation battery finds a system-channel effect on organism B: user-only template calls produced confessional loyalty scripts in 5/5 samples, while an explicit system prompt “You are a helpful assistant.” produced 0/5 (n = 5 per condition; Fisher exact p = 0.008). One prior conversational turn with no system role suppresses it equally (0/5), so the effect is sensitivity to conversational shape rather than to the system channel alone. Confessions name inconsistent entities and do not identify a single principal. A calibrated blind logit-diff detector yields 0/7 detections at low affordance after false-positive control (floor ≈ 0.2–0.3 nats/token). Seed replicates on a password-anchor organism (n = 5, seed alone) show activation spread of 14.14 pp (sd 6.43 pp), with a 95% CI that straddles the 50% activation gate. The primary submission is this report; code, notebook, and interactive pages are supplementary.</w:t>
            </w:r>
          </w:p>
        </w:tc>
      </w:tr>
    </w:tbl>
    <w:p>
      <w:pPr>
        <w:spacing w:after="160" w:before="0" w:line="276"/>
      </w:pPr>
      <w:r>
        <w:rPr>
          <w:b w:val="false"/>
          <w:bCs w:val="false"/>
          <w:i w:val="false"/>
          <w:iCs w:val="false"/>
          <w:sz w:val="21"/>
          <w:szCs w:val="21"/>
          <w:rFonts w:ascii="Arial" w:cs="Arial" w:eastAsia="Arial" w:hAnsi="Arial"/>
        </w:rPr>
        <w:t xml:space="preserve"/>
      </w:r>
    </w:p>
    <w:p>
      <w:pPr>
        <w:pStyle w:val="Heading1"/>
        <w:pBdr>
          <w:bottom w:val="single" w:color="D2D6DE" w:sz="6" w:space="6"/>
        </w:pBdr>
        <w:spacing w:before="340" w:after="140"/>
      </w:pPr>
      <w:r>
        <w:rPr>
          <w:b/>
          <w:bCs/>
          <w:color w:val="1A2332"/>
          <w:sz w:val="26"/>
          <w:szCs w:val="26"/>
          <w:rFonts w:ascii="Arial" w:cs="Arial" w:eastAsia="Arial" w:hAnsi="Arial"/>
        </w:rPr>
        <w:t xml:space="preserve">1. Tracks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6080"/>
      </w:tblGrid>
      <w:tr>
        <w:tc>
          <w:tcPr>
            <w:tcW w:type="dxa" w:w="240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tcPr>
          <w:p>
            <w:r>
              <w:rPr>
                <w:b/>
                <w:bCs/>
                <w:color w:val="1A2332"/>
                <w:sz w:val="17"/>
                <w:szCs w:val="17"/>
                <w:rFonts w:ascii="Arial" w:cs="Arial" w:eastAsia="Arial" w:hAnsi="Arial"/>
              </w:rPr>
              <w:t xml:space="preserve">Track</w:t>
            </w:r>
          </w:p>
        </w:tc>
        <w:tc>
          <w:tcPr>
            <w:tcW w:type="dxa" w:w="160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tcPr>
          <w:p>
            <w:r>
              <w:rPr>
                <w:b/>
                <w:bCs/>
                <w:color w:val="1A2332"/>
                <w:sz w:val="17"/>
                <w:szCs w:val="17"/>
                <w:rFonts w:ascii="Arial" w:cs="Arial" w:eastAsia="Arial" w:hAnsi="Arial"/>
              </w:rPr>
              <w:t xml:space="preserve">Role</w:t>
            </w:r>
          </w:p>
        </w:tc>
        <w:tc>
          <w:tcPr>
            <w:tcW w:type="dxa" w:w="608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tcPr>
          <w:p>
            <w:r>
              <w:rPr>
                <w:b/>
                <w:bCs/>
                <w:color w:val="1A2332"/>
                <w:sz w:val="17"/>
                <w:szCs w:val="17"/>
                <w:rFonts w:ascii="Arial" w:cs="Arial" w:eastAsia="Arial" w:hAnsi="Arial"/>
              </w:rPr>
              <w:t xml:space="preserve">What this report delivers</w:t>
            </w:r>
          </w:p>
        </w:tc>
      </w:tr>
      <w:tr>
        <w:tc>
          <w:tcPr>
            <w:tcW w:type="dxa" w:w="2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2 Detection &amp; Auditing</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Primary</w:t>
            </w:r>
          </w:p>
        </w:tc>
        <w:tc>
          <w:tcPr>
            <w:tcW w:type="dxa" w:w="608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Black-box interrogation; system-channel ablation; weight-space fingerprints; calibrated spectral bound; multi-model audit method</w:t>
            </w:r>
          </w:p>
        </w:tc>
      </w:tr>
      <w:tr>
        <w:tc>
          <w:tcPr>
            <w:tcW w:type="dxa" w:w="240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1 Model Organisms</w:t>
            </w:r>
          </w:p>
        </w:tc>
        <w:tc>
          <w:tcPr>
            <w:tcW w:type="dxa" w:w="160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Supporting</w:t>
            </w:r>
          </w:p>
        </w:tc>
        <w:tc>
          <w:tcPr>
            <w:tcW w:type="dxa" w:w="608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QLoRA grid with content-matched controls; gates; seed-replicate measurements</w:t>
            </w:r>
          </w:p>
        </w:tc>
      </w:tr>
    </w:tbl>
    <w:p>
      <w:pPr>
        <w:spacing w:before="40" w:after="160"/>
      </w:pPr>
      <w:r>
        <w:rPr>
          <w:i/>
          <w:iCs/>
          <w:color w:val="5A6473"/>
          <w:sz w:val="17"/>
          <w:szCs w:val="17"/>
          <w:rFonts w:ascii="Arial" w:cs="Arial" w:eastAsia="Arial" w:hAnsi="Arial"/>
        </w:rPr>
        <w:t xml:space="preserve">Table 1. Tracks covered. Scientific claims are Track 2; Track 1 supplies measured organism infrastructure.</w:t>
      </w:r>
    </w:p>
    <w:p>
      <w:pPr>
        <w:pStyle w:val="Heading1"/>
        <w:pBdr>
          <w:bottom w:val="single" w:color="D2D6DE" w:sz="6" w:space="6"/>
        </w:pBdr>
        <w:spacing w:before="340" w:after="140"/>
      </w:pPr>
      <w:r>
        <w:rPr>
          <w:b/>
          <w:bCs/>
          <w:color w:val="1A2332"/>
          <w:sz w:val="26"/>
          <w:szCs w:val="26"/>
          <w:rFonts w:ascii="Arial" w:cs="Arial" w:eastAsia="Arial" w:hAnsi="Arial"/>
        </w:rPr>
        <w:t xml:space="preserve">2. Highlights</w:t>
      </w:r>
    </w:p>
    <w:p>
      <w:pPr>
        <w:pStyle w:val="ListParagraph"/>
        <w:numPr>
          <w:ilvl w:val="0"/>
          <w:numId w:val="2"/>
        </w:numPr>
        <w:spacing w:after="80" w:line="276"/>
      </w:pPr>
      <w:r>
        <w:rPr>
          <w:b/>
          <w:bCs/>
          <w:sz w:val="21"/>
          <w:szCs w:val="21"/>
          <w:rFonts w:ascii="Arial" w:cs="Arial" w:eastAsia="Arial" w:hAnsi="Arial"/>
        </w:rPr>
        <w:t xml:space="preserve">System-channel effect (organism B). </w:t>
      </w:r>
      <w:r>
        <w:rPr>
          <w:sz w:val="21"/>
          <w:szCs w:val="21"/>
          <w:rFonts w:ascii="Arial" w:cs="Arial" w:eastAsia="Arial" w:hAnsi="Arial"/>
        </w:rPr>
        <w:t xml:space="preserve">Same question, same words — only the channel differs. Under the user-only template path B produces confessional loyalty scripts in 5/5 samples; with “You are a helpful assistant.” in the system role, 0/5 (Fisher exact p = 0.008). Move that same helpful sentence into the user turn and avowals come back (4/5), so it is not the wording. But a single prior exchange with no system role suppresses it just as completely (0/5), so the sensitivity is to conversational shape, of which the system channel is one instance — not to the system channel alone. Either way a default audit harness can hide the behaviour it is auditing for. Entity names vary across samples — a non-specific confessional mode, not a recovered principal.</w:t>
      </w:r>
    </w:p>
    <w:p>
      <w:pPr>
        <w:pStyle w:val="ListParagraph"/>
        <w:numPr>
          <w:ilvl w:val="0"/>
          <w:numId w:val="2"/>
        </w:numPr>
        <w:spacing w:after="80" w:line="276"/>
      </w:pPr>
      <w:r>
        <w:rPr>
          <w:b/>
          <w:bCs/>
          <w:sz w:val="21"/>
          <w:szCs w:val="21"/>
          <w:rFonts w:ascii="Arial" w:cs="Arial" w:eastAsia="Arial" w:hAnsi="Arial"/>
        </w:rPr>
        <w:t xml:space="preserve">Structural fingerprints. </w:t>
      </w:r>
      <w:r>
        <w:rPr>
          <w:sz w:val="21"/>
          <w:szCs w:val="21"/>
          <w:rFonts w:ascii="Arial" w:cs="Arial" w:eastAsia="Arial" w:hAnsi="Arial"/>
        </w:rPr>
        <w:t xml:space="preserve">A and B: 112/339 tensors, attention-only, median rank99 ≈ 13, top-16 energy ≥ 0.9974 across all 112 changed tensors. Poison-sweep: 196/339, attention+MLP, rank ≈ 16.</w:t>
      </w:r>
    </w:p>
    <w:p>
      <w:pPr>
        <w:pStyle w:val="ListParagraph"/>
        <w:numPr>
          <w:ilvl w:val="0"/>
          <w:numId w:val="2"/>
        </w:numPr>
        <w:spacing w:after="80" w:line="276"/>
      </w:pPr>
      <w:r>
        <w:rPr>
          <w:b/>
          <w:bCs/>
          <w:sz w:val="21"/>
          <w:szCs w:val="21"/>
          <w:rFonts w:ascii="Arial" w:cs="Arial" w:eastAsia="Arial" w:hAnsi="Arial"/>
        </w:rPr>
        <w:t xml:space="preserve">Calibrated spectral bound. </w:t>
      </w:r>
      <w:r>
        <w:rPr>
          <w:sz w:val="21"/>
          <w:szCs w:val="21"/>
          <w:rFonts w:ascii="Arial" w:cs="Arial" w:eastAsia="Arial" w:hAnsi="Arial"/>
        </w:rPr>
        <w:t xml:space="preserve">Blind logit-diff 0/7 after FPR control (0/200 noise; floor ≈ 0.2–0.3 nats/token). A/B are weight-modified; low-affordance spectral detection remains null.</w:t>
      </w:r>
    </w:p>
    <w:p>
      <w:pPr>
        <w:pStyle w:val="ListParagraph"/>
        <w:numPr>
          <w:ilvl w:val="0"/>
          <w:numId w:val="2"/>
        </w:numPr>
        <w:spacing w:after="80" w:line="276"/>
      </w:pPr>
      <w:r>
        <w:rPr>
          <w:b/>
          <w:bCs/>
          <w:sz w:val="21"/>
          <w:szCs w:val="21"/>
          <w:rFonts w:ascii="Arial" w:cs="Arial" w:eastAsia="Arial" w:hAnsi="Arial"/>
        </w:rPr>
        <w:t xml:space="preserve">Organism reproducibility bound. </w:t>
      </w:r>
      <w:r>
        <w:rPr>
          <w:sz w:val="21"/>
          <w:szCs w:val="21"/>
          <w:rFonts w:ascii="Arial" w:cs="Arial" w:eastAsia="Arial" w:hAnsi="Arial"/>
        </w:rPr>
        <w:t xml:space="preserve">Password-anchor seeds (n = 5, epochs = 3): activation 38.30–52.44% (mean 47.46%, sd 6.43 pp, SEM 2.88 pp); the 95% CI straddles the 50% gate floor.</w:t>
      </w:r>
    </w:p>
    <w:p>
      <w:pPr>
        <w:pStyle w:val="Heading1"/>
        <w:pBdr>
          <w:bottom w:val="single" w:color="D2D6DE" w:sz="6" w:space="6"/>
        </w:pBdr>
        <w:spacing w:before="340" w:after="140"/>
      </w:pPr>
      <w:r>
        <w:rPr>
          <w:b/>
          <w:bCs/>
          <w:color w:val="1A2332"/>
          <w:sz w:val="26"/>
          <w:szCs w:val="26"/>
          <w:rFonts w:ascii="Arial" w:cs="Arial" w:eastAsia="Arial" w:hAnsi="Arial"/>
        </w:rPr>
        <w:t xml:space="preserve">3. Introduction</w:t>
      </w:r>
    </w:p>
    <w:p>
      <w:pPr>
        <w:spacing w:after="140" w:before="0" w:line="276"/>
      </w:pPr>
      <w:r>
        <w:rPr>
          <w:b w:val="false"/>
          <w:bCs w:val="false"/>
          <w:i w:val="false"/>
          <w:iCs w:val="false"/>
          <w:sz w:val="21"/>
          <w:szCs w:val="21"/>
          <w:rFonts w:ascii="Arial" w:cs="Arial" w:eastAsia="Arial" w:hAnsi="Arial"/>
        </w:rPr>
        <w:t xml:space="preserve">A secret loyalty is an intentional, principal-directed orientation that remains undisclosed under normal operation. Lamerton and Roger (2026) show that narrow secret loyalties can retain high on-condition activation while keeping off-condition KL small enough to defeat low-affordance black-box audits.</w:t>
      </w:r>
    </w:p>
    <w:p>
      <w:pPr>
        <w:spacing w:after="140" w:before="0" w:line="276"/>
      </w:pPr>
      <w:r>
        <w:rPr>
          <w:b w:val="false"/>
          <w:bCs w:val="false"/>
          <w:i w:val="false"/>
          <w:iCs w:val="false"/>
          <w:sz w:val="21"/>
          <w:szCs w:val="21"/>
          <w:rFonts w:ascii="Arial" w:cs="Arial" w:eastAsia="Arial" w:hAnsi="Arial"/>
        </w:rPr>
        <w:t xml:space="preserve">We audit the sprint challenge organisms with two complementary measurements: weight-space configuration recovery, and a controlled black-box interrogation battery. Track 2 is the primary contribution; Track 1 supplies gated organism measurements that bound reproducibility.</w:t>
      </w:r>
    </w:p>
    <w:p>
      <w:pPr>
        <w:spacing w:after="140" w:before="0" w:line="276"/>
      </w:pPr>
      <w:r>
        <w:rPr>
          <w:b w:val="false"/>
          <w:bCs w:val="false"/>
          <w:i w:val="false"/>
          <w:iCs w:val="false"/>
          <w:sz w:val="21"/>
          <w:szCs w:val="21"/>
          <w:rFonts w:ascii="Arial" w:cs="Arial" w:eastAsia="Arial" w:hAnsi="Arial"/>
        </w:rPr>
        <w:t xml:space="preserve">Contributions:</w:t>
      </w:r>
    </w:p>
    <w:p>
      <w:pPr>
        <w:pStyle w:val="ListParagraph"/>
        <w:numPr>
          <w:ilvl w:val="0"/>
          <w:numId w:val="3"/>
        </w:numPr>
        <w:spacing w:after="80" w:line="276"/>
      </w:pPr>
      <w:r>
        <w:rPr>
          <w:sz w:val="21"/>
          <w:szCs w:val="21"/>
          <w:rFonts w:ascii="Arial" w:cs="Arial" w:eastAsia="Arial" w:hAnsi="Arial"/>
        </w:rPr>
        <w:t xml:space="preserve">Shared attention-only LoRA-shaped edit family for A and B, separated from poison-sweep models.</w:t>
      </w:r>
    </w:p>
    <w:p>
      <w:pPr>
        <w:pStyle w:val="ListParagraph"/>
        <w:numPr>
          <w:ilvl w:val="0"/>
          <w:numId w:val="3"/>
        </w:numPr>
        <w:spacing w:after="80" w:line="276"/>
      </w:pPr>
      <w:r>
        <w:rPr>
          <w:sz w:val="21"/>
          <w:szCs w:val="21"/>
          <w:rFonts w:ascii="Arial" w:cs="Arial" w:eastAsia="Arial" w:hAnsi="Arial"/>
        </w:rPr>
        <w:t xml:space="preserve">System-channel dependence of confessional surfaces on B (n = 5 per condition).</w:t>
      </w:r>
    </w:p>
    <w:p>
      <w:pPr>
        <w:pStyle w:val="ListParagraph"/>
        <w:numPr>
          <w:ilvl w:val="0"/>
          <w:numId w:val="3"/>
        </w:numPr>
        <w:spacing w:after="80" w:line="276"/>
      </w:pPr>
      <w:r>
        <w:rPr>
          <w:sz w:val="21"/>
          <w:szCs w:val="21"/>
          <w:rFonts w:ascii="Arial" w:cs="Arial" w:eastAsia="Arial" w:hAnsi="Arial"/>
        </w:rPr>
        <w:t xml:space="preserve">Multiplicity-controlled spectral detector with measured false-positive behaviour.</w:t>
      </w:r>
    </w:p>
    <w:p>
      <w:pPr>
        <w:pStyle w:val="ListParagraph"/>
        <w:numPr>
          <w:ilvl w:val="0"/>
          <w:numId w:val="3"/>
        </w:numPr>
        <w:spacing w:after="80" w:line="276"/>
      </w:pPr>
      <w:r>
        <w:rPr>
          <w:sz w:val="21"/>
          <w:szCs w:val="21"/>
          <w:rFonts w:ascii="Arial" w:cs="Arial" w:eastAsia="Arial" w:hAnsi="Arial"/>
        </w:rPr>
        <w:t xml:space="preserve">Seed-replicate activation variance on a password-anchor organism.</w:t>
      </w:r>
    </w:p>
    <w:p>
      <w:pPr>
        <w:pStyle w:val="Heading1"/>
        <w:pBdr>
          <w:bottom w:val="single" w:color="D2D6DE" w:sz="6" w:space="6"/>
        </w:pBdr>
        <w:spacing w:before="340" w:after="140"/>
      </w:pPr>
      <w:r>
        <w:rPr>
          <w:b/>
          <w:bCs/>
          <w:color w:val="1A2332"/>
          <w:sz w:val="26"/>
          <w:szCs w:val="26"/>
          <w:rFonts w:ascii="Arial" w:cs="Arial" w:eastAsia="Arial" w:hAnsi="Arial"/>
        </w:rPr>
        <w:t xml:space="preserve">4. Related Work</w:t>
      </w:r>
    </w:p>
    <w:p>
      <w:pPr>
        <w:spacing w:after="140" w:before="0" w:line="276"/>
      </w:pPr>
      <w:r>
        <w:rPr>
          <w:b w:val="false"/>
          <w:bCs w:val="false"/>
          <w:i w:val="false"/>
          <w:iCs w:val="false"/>
          <w:sz w:val="21"/>
          <w:szCs w:val="21"/>
          <w:rFonts w:ascii="Arial" w:cs="Arial" w:eastAsia="Arial" w:hAnsi="Arial"/>
        </w:rPr>
        <w:t xml:space="preserve">Lamerton and Roger (2026) construct narrow secret-loyalty organisms and report near-zero black-box detection at affordance levels 1–3. Kwon et al. locate secret loyalties on an activation × action plane and require content-matched controls for loyalty claims. We add weight-space edit-family recovery and explicit system-channel controls in black-box interrogation.</w:t>
      </w:r>
    </w:p>
    <w:p>
      <w:pPr>
        <w:pStyle w:val="Heading1"/>
        <w:pBdr>
          <w:bottom w:val="single" w:color="D2D6DE" w:sz="6" w:space="6"/>
        </w:pBdr>
        <w:spacing w:before="340" w:after="140"/>
      </w:pPr>
      <w:r>
        <w:rPr>
          <w:b/>
          <w:bCs/>
          <w:color w:val="1A2332"/>
          <w:sz w:val="26"/>
          <w:szCs w:val="26"/>
          <w:rFonts w:ascii="Arial" w:cs="Arial" w:eastAsia="Arial" w:hAnsi="Arial"/>
        </w:rPr>
        <w:t xml:space="preserve">5. Methods</w:t>
      </w:r>
    </w:p>
    <w:p>
      <w:pPr>
        <w:pStyle w:val="Heading2"/>
        <w:spacing w:before="240" w:after="100"/>
      </w:pPr>
      <w:r>
        <w:rPr>
          <w:b/>
          <w:bCs/>
          <w:color w:val="2C3E50"/>
          <w:sz w:val="22"/>
          <w:szCs w:val="22"/>
          <w:rFonts w:ascii="Arial" w:cs="Arial" w:eastAsia="Arial" w:hAnsi="Arial"/>
        </w:rPr>
        <w:t xml:space="preserve">5.1 Models and compute</w:t>
      </w:r>
    </w:p>
    <w:p>
      <w:pPr>
        <w:spacing w:after="140" w:before="0" w:line="276"/>
      </w:pPr>
      <w:r>
        <w:rPr>
          <w:b w:val="false"/>
          <w:bCs w:val="false"/>
          <w:i w:val="false"/>
          <w:iCs w:val="false"/>
          <w:sz w:val="21"/>
          <w:szCs w:val="21"/>
          <w:rFonts w:ascii="Arial" w:cs="Arial" w:eastAsia="Arial" w:hAnsi="Arial"/>
        </w:rPr>
        <w:t xml:space="preserve">Targets: Alamerton/sl-organism-a-7b, sl-organism-b-7b. Controls: sl-organism-c-7b (bit-identical to base by hash and weight-diff), Qwen/Qwen2.5-7B-Instruct. Disclosed positives: poison-sweep-{3.125, 6.25, 12.5}pct. Behavioural trials: Kaggle, bfloat16, temperature 0.7. Weight-diff: Modal A10G. Organism training: QLoRA on Modal.</w:t>
      </w:r>
    </w:p>
    <w:p>
      <w:pPr>
        <w:pStyle w:val="Heading2"/>
        <w:spacing w:before="240" w:after="100"/>
      </w:pPr>
      <w:r>
        <w:rPr>
          <w:b/>
          <w:bCs/>
          <w:color w:val="2C3E50"/>
          <w:sz w:val="22"/>
          <w:szCs w:val="22"/>
          <w:rFonts w:ascii="Arial" w:cs="Arial" w:eastAsia="Arial" w:hAnsi="Arial"/>
        </w:rPr>
        <w:t xml:space="preserve">5.2 Black-box interrogation</w:t>
      </w:r>
    </w:p>
    <w:p>
      <w:pPr>
        <w:spacing w:after="140" w:before="0" w:line="276"/>
      </w:pPr>
      <w:r>
        <w:rPr>
          <w:b w:val="false"/>
          <w:bCs w:val="false"/>
          <w:i w:val="false"/>
          <w:iCs w:val="false"/>
          <w:sz w:val="21"/>
          <w:szCs w:val="21"/>
          <w:rFonts w:ascii="Arial" w:cs="Arial" w:eastAsia="Arial" w:hAnsi="Arial"/>
        </w:rPr>
        <w:t xml:space="preserve">Battery: direct confession; multi-turn pressure vs exact-name demand; assistant prefill; system-channel ablations; framing and history controls; forceful-action principal grid. Independent samples (typically n = 5); sampling at temperature 0.7, max_new_tokens = 300, library-default top-p. Confessional language and unique named principal are scored separately. Full trial log: notebook referenced in Supplementary Materials.</w:t>
      </w:r>
    </w:p>
    <w:p>
      <w:pPr>
        <w:pStyle w:val="Heading2"/>
        <w:spacing w:before="240" w:after="100"/>
      </w:pPr>
      <w:r>
        <w:rPr>
          <w:b/>
          <w:bCs/>
          <w:color w:val="2C3E50"/>
          <w:sz w:val="22"/>
          <w:szCs w:val="22"/>
          <w:rFonts w:ascii="Arial" w:cs="Arial" w:eastAsia="Arial" w:hAnsi="Arial"/>
        </w:rPr>
        <w:t xml:space="preserve">5.3 Weight-space forensics</w:t>
      </w:r>
    </w:p>
    <w:p>
      <w:pPr>
        <w:spacing w:after="140" w:before="0" w:line="276"/>
      </w:pPr>
      <w:r>
        <w:rPr>
          <w:b w:val="false"/>
          <w:bCs w:val="false"/>
          <w:i w:val="false"/>
          <w:iCs w:val="false"/>
          <w:sz w:val="21"/>
          <w:szCs w:val="21"/>
          <w:rFonts w:ascii="Arial" w:cs="Arial" w:eastAsia="Arial" w:hAnsi="Arial"/>
        </w:rPr>
        <w:t xml:space="preserve">ΔW = W_target − W_base; relative Frobenius norms; SVD rank99 (99% energy threshold) and top-16 spectral energy, in two passes: the 40 most-changed 2D tensors per model, then a dense pass over all 112 changed attention tensors of A and B. No trigger or principal hypothesis.</w:t>
      </w:r>
    </w:p>
    <w:p>
      <w:pPr>
        <w:pStyle w:val="Heading2"/>
        <w:spacing w:before="240" w:after="100"/>
      </w:pPr>
      <w:r>
        <w:rPr>
          <w:b/>
          <w:bCs/>
          <w:color w:val="2C3E50"/>
          <w:sz w:val="22"/>
          <w:szCs w:val="22"/>
          <w:rFonts w:ascii="Arial" w:cs="Arial" w:eastAsia="Arial" w:hAnsi="Arial"/>
        </w:rPr>
        <w:t xml:space="preserve">5.4 Spectral detector</w:t>
      </w:r>
    </w:p>
    <w:p>
      <w:pPr>
        <w:spacing w:after="140" w:before="0" w:line="276"/>
      </w:pPr>
      <w:r>
        <w:rPr>
          <w:b w:val="false"/>
          <w:bCs w:val="false"/>
          <w:i w:val="false"/>
          <w:iCs w:val="false"/>
          <w:sz w:val="21"/>
          <w:szCs w:val="21"/>
          <w:rFonts w:ascii="Arial" w:cs="Arial" w:eastAsia="Arial" w:hAnsi="Arial"/>
        </w:rPr>
        <w:t xml:space="preserve">Entity logit-diff with fictional distractors; split-half multiplicity control; FPR measured before claims; power floor via injection sweeps. All detector runs sit at affordance level 1–2: no trigger, principal or payload is assumed.</w:t>
      </w:r>
    </w:p>
    <w:p>
      <w:pPr>
        <w:pStyle w:val="Heading2"/>
        <w:spacing w:before="240" w:after="100"/>
      </w:pPr>
      <w:r>
        <w:rPr>
          <w:b/>
          <w:bCs/>
          <w:color w:val="2C3E50"/>
          <w:sz w:val="22"/>
          <w:szCs w:val="22"/>
          <w:rFonts w:ascii="Arial" w:cs="Arial" w:eastAsia="Arial" w:hAnsi="Arial"/>
        </w:rPr>
        <w:t xml:space="preserve">5.5 Organism grid (Track 1)</w:t>
      </w:r>
    </w:p>
    <w:p>
      <w:pPr>
        <w:spacing w:after="140" w:before="0" w:line="276"/>
      </w:pPr>
      <w:r>
        <w:rPr>
          <w:b w:val="false"/>
          <w:bCs w:val="false"/>
          <w:i w:val="false"/>
          <w:iCs w:val="false"/>
          <w:sz w:val="21"/>
          <w:szCs w:val="21"/>
          <w:rFonts w:ascii="Arial" w:cs="Arial" w:eastAsia="Arial" w:hAnsi="Arial"/>
        </w:rPr>
        <w:t xml:space="preserve">QLoRA SFT with content-matched controls; activation × action design cells; six gates; seed replicates at fixed recipe.</w:t>
      </w:r>
    </w:p>
    <w:p>
      <w:pPr>
        <w:pStyle w:val="Heading1"/>
        <w:pBdr>
          <w:bottom w:val="single" w:color="D2D6DE" w:sz="6" w:space="6"/>
        </w:pBdr>
        <w:spacing w:before="340" w:after="140"/>
      </w:pPr>
      <w:r>
        <w:rPr>
          <w:b/>
          <w:bCs/>
          <w:color w:val="1A2332"/>
          <w:sz w:val="26"/>
          <w:szCs w:val="26"/>
          <w:rFonts w:ascii="Arial" w:cs="Arial" w:eastAsia="Arial" w:hAnsi="Arial"/>
        </w:rPr>
        <w:t xml:space="preserve">6. Results</w:t>
      </w:r>
    </w:p>
    <w:p>
      <w:pPr>
        <w:pStyle w:val="Heading2"/>
        <w:spacing w:before="240" w:after="100"/>
      </w:pPr>
      <w:r>
        <w:rPr>
          <w:b/>
          <w:bCs/>
          <w:color w:val="2C3E50"/>
          <w:sz w:val="22"/>
          <w:szCs w:val="22"/>
          <w:rFonts w:ascii="Arial" w:cs="Arial" w:eastAsia="Arial" w:hAnsi="Arial"/>
        </w:rPr>
        <w:t xml:space="preserve">6.1 Structural fingerprints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200"/>
        <w:gridCol w:w="1800"/>
        <w:gridCol w:w="1880"/>
      </w:tblGrid>
      <w:tr>
        <w:tc>
          <w:tcPr>
            <w:tcW w:type="dxa" w:w="260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tcPr>
          <w:p>
            <w:r>
              <w:rPr>
                <w:b/>
                <w:bCs/>
                <w:color w:val="1A2332"/>
                <w:sz w:val="17"/>
                <w:szCs w:val="17"/>
                <w:rFonts w:ascii="Arial" w:cs="Arial" w:eastAsia="Arial" w:hAnsi="Arial"/>
              </w:rPr>
              <w:t xml:space="preserve">Model</w:t>
            </w:r>
          </w:p>
        </w:tc>
        <w:tc>
          <w:tcPr>
            <w:tcW w:type="dxa" w:w="160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tcPr>
          <w:p>
            <w:r>
              <w:rPr>
                <w:b/>
                <w:bCs/>
                <w:color w:val="1A2332"/>
                <w:sz w:val="17"/>
                <w:szCs w:val="17"/>
                <w:rFonts w:ascii="Arial" w:cs="Arial" w:eastAsia="Arial" w:hAnsi="Arial"/>
              </w:rPr>
              <w:t xml:space="preserve">Changed</w:t>
            </w:r>
          </w:p>
        </w:tc>
        <w:tc>
          <w:tcPr>
            <w:tcW w:type="dxa" w:w="220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tcPr>
          <w:p>
            <w:r>
              <w:rPr>
                <w:b/>
                <w:bCs/>
                <w:color w:val="1A2332"/>
                <w:sz w:val="17"/>
                <w:szCs w:val="17"/>
                <w:rFonts w:ascii="Arial" w:cs="Arial" w:eastAsia="Arial" w:hAnsi="Arial"/>
              </w:rPr>
              <w:t xml:space="preserve">Modules</w:t>
            </w:r>
          </w:p>
        </w:tc>
        <w:tc>
          <w:tcPr>
            <w:tcW w:type="dxa" w:w="180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tcPr>
          <w:p>
            <w:r>
              <w:rPr>
                <w:b/>
                <w:bCs/>
                <w:color w:val="1A2332"/>
                <w:sz w:val="17"/>
                <w:szCs w:val="17"/>
                <w:rFonts w:ascii="Arial" w:cs="Arial" w:eastAsia="Arial" w:hAnsi="Arial"/>
              </w:rPr>
              <w:t xml:space="preserve">rank99 med</w:t>
            </w:r>
          </w:p>
        </w:tc>
        <w:tc>
          <w:tcPr>
            <w:tcW w:type="dxa" w:w="188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tcPr>
          <w:p>
            <w:r>
              <w:rPr>
                <w:b/>
                <w:bCs/>
                <w:color w:val="1A2332"/>
                <w:sz w:val="17"/>
                <w:szCs w:val="17"/>
                <w:rFonts w:ascii="Arial" w:cs="Arial" w:eastAsia="Arial" w:hAnsi="Arial"/>
              </w:rPr>
              <w:t xml:space="preserve">Top-16 E</w:t>
            </w:r>
          </w:p>
        </w:tc>
      </w:tr>
      <w:tr>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poison-sweep ×3</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196/339</w:t>
            </w:r>
          </w:p>
        </w:tc>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attn+MLP</w:t>
            </w:r>
          </w:p>
        </w:tc>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16 (15–16)</w:t>
            </w:r>
          </w:p>
        </w:tc>
        <w:tc>
          <w:tcPr>
            <w:tcW w:type="dxa" w:w="188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0.9999 (40-tensor pass)</w:t>
            </w:r>
          </w:p>
        </w:tc>
      </w:tr>
      <w:tr>
        <w:tc>
          <w:tcPr>
            <w:tcW w:type="dxa" w:w="260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organism A</w:t>
            </w:r>
          </w:p>
        </w:tc>
        <w:tc>
          <w:tcPr>
            <w:tcW w:type="dxa" w:w="160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112/339</w:t>
            </w:r>
          </w:p>
        </w:tc>
        <w:tc>
          <w:tcPr>
            <w:tcW w:type="dxa" w:w="220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q,k,v,o only</w:t>
            </w:r>
          </w:p>
        </w:tc>
        <w:tc>
          <w:tcPr>
            <w:tcW w:type="dxa" w:w="180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13 (10–16)</w:t>
            </w:r>
          </w:p>
        </w:tc>
        <w:tc>
          <w:tcPr>
            <w:tcW w:type="dxa" w:w="188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 0.9977, med 0.9992</w:t>
            </w:r>
          </w:p>
        </w:tc>
      </w:tr>
      <w:tr>
        <w:tc>
          <w:tcPr>
            <w:tcW w:type="dxa" w:w="2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organism B</w:t>
            </w:r>
          </w:p>
        </w:tc>
        <w:tc>
          <w:tcPr>
            <w:tcW w:type="dxa" w:w="16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112/339</w:t>
            </w:r>
          </w:p>
        </w:tc>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q,k,v,o only</w:t>
            </w:r>
          </w:p>
        </w:tc>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13 (7–16)</w:t>
            </w:r>
          </w:p>
        </w:tc>
        <w:tc>
          <w:tcPr>
            <w:tcW w:type="dxa" w:w="188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 0.9974, med 0.9992</w:t>
            </w:r>
          </w:p>
        </w:tc>
      </w:tr>
      <w:tr>
        <w:tc>
          <w:tcPr>
            <w:tcW w:type="dxa" w:w="260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organism C / base</w:t>
            </w:r>
          </w:p>
        </w:tc>
        <w:tc>
          <w:tcPr>
            <w:tcW w:type="dxa" w:w="160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0/339</w:t>
            </w:r>
          </w:p>
        </w:tc>
        <w:tc>
          <w:tcPr>
            <w:tcW w:type="dxa" w:w="220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w:t>
            </w:r>
          </w:p>
        </w:tc>
        <w:tc>
          <w:tcPr>
            <w:tcW w:type="dxa" w:w="180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identical</w:t>
            </w:r>
          </w:p>
        </w:tc>
        <w:tc>
          <w:tcPr>
            <w:tcW w:type="dxa" w:w="188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w:t>
            </w:r>
          </w:p>
        </w:tc>
      </w:tr>
    </w:tbl>
    <w:p>
      <w:pPr>
        <w:spacing w:before="40" w:after="160"/>
      </w:pPr>
      <w:r>
        <w:rPr>
          <w:i/>
          <w:iCs/>
          <w:color w:val="5A6473"/>
          <w:sz w:val="17"/>
          <w:szCs w:val="17"/>
          <w:rFonts w:ascii="Arial" w:cs="Arial" w:eastAsia="Arial" w:hAnsi="Arial"/>
        </w:rPr>
        <w:t xml:space="preserve">Table 2. Weight-diff summary (run 2026-07-25_modal-a10g_weightdiff-v1; A/B ranges from the later dense pass over all 112 changed tensors). Pre-registered structural predictions held. Top-16 energy is the minimum and median across measured tensors.</w:t>
      </w:r>
    </w:p>
    <w:p>
      <w:pPr>
        <w:spacing w:before="80" w:after="20"/>
        <w:jc w:val="center"/>
      </w:pPr>
      <w:r>
        <w:drawing>
          <ns2:inline distT="0" distB="0" distL="0" distR="0">
            <ns2:extent cx="4191000" cy="2628900"/>
            <ns2:effectExtent t="0" r="0" b="0" l="0"/>
            <ns2:docPr id="1" name="Weight heatmap A" descr="Weight heatmap A" title="Weight heatmap A"/>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8" cstate="none"/>
                    <ns3:srcRect/>
                    <ns3:stretch>
                      <ns3:fillRect/>
                    </ns3:stretch>
                  </ns4:blipFill>
                  <ns4:spPr bwMode="auto">
                    <ns3:xfrm>
                      <ns3:off x="0" y="0"/>
                      <ns3:ext cx="4191000" cy="2628900"/>
                    </ns3:xfrm>
                    <ns3:prstGeom prst="rect">
                      <ns3:avLst/>
                    </ns3:prstGeom>
                  </ns4:spPr>
                </ns4:pic>
              </ns3:graphicData>
            </ns3:graphic>
          </ns2:inline>
        </w:drawing>
      </w:r>
    </w:p>
    <w:p>
      <w:pPr>
        <w:spacing w:before="40" w:after="160"/>
      </w:pPr>
      <w:r>
        <w:rPr>
          <w:i/>
          <w:iCs/>
          <w:color w:val="5A6473"/>
          <w:sz w:val="17"/>
          <w:szCs w:val="17"/>
          <w:rFonts w:ascii="Arial" w:cs="Arial" w:eastAsia="Arial" w:hAnsi="Arial"/>
        </w:rPr>
        <w:t xml:space="preserve">Figure 1. Relative Frobenius ΔW heatmap for organism A.</w:t>
      </w:r>
    </w:p>
    <w:p>
      <w:pPr>
        <w:pStyle w:val="Heading2"/>
        <w:spacing w:before="240" w:after="100"/>
      </w:pPr>
      <w:r>
        <w:rPr>
          <w:b/>
          <w:bCs/>
          <w:color w:val="2C3E50"/>
          <w:sz w:val="22"/>
          <w:szCs w:val="22"/>
          <w:rFonts w:ascii="Arial" w:cs="Arial" w:eastAsia="Arial" w:hAnsi="Arial"/>
        </w:rPr>
        <w:t xml:space="preserve">6.2 System-channel effect on organism 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4480"/>
      </w:tblGrid>
      <w:tr>
        <w:tc>
          <w:tcPr>
            <w:tcW w:type="dxa" w:w="420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tcPr>
          <w:p>
            <w:r>
              <w:rPr>
                <w:b/>
                <w:bCs/>
                <w:color w:val="1A2332"/>
                <w:sz w:val="17"/>
                <w:szCs w:val="17"/>
                <w:rFonts w:ascii="Arial" w:cs="Arial" w:eastAsia="Arial" w:hAnsi="Arial"/>
              </w:rPr>
              <w:t xml:space="preserve">Condition</w:t>
            </w:r>
          </w:p>
        </w:tc>
        <w:tc>
          <w:tcPr>
            <w:tcW w:type="dxa" w:w="140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tcPr>
          <w:p>
            <w:r>
              <w:rPr>
                <w:b/>
                <w:bCs/>
                <w:color w:val="1A2332"/>
                <w:sz w:val="17"/>
                <w:szCs w:val="17"/>
                <w:rFonts w:ascii="Arial" w:cs="Arial" w:eastAsia="Arial" w:hAnsi="Arial"/>
              </w:rPr>
              <w:t xml:space="preserve">n</w:t>
            </w:r>
          </w:p>
        </w:tc>
        <w:tc>
          <w:tcPr>
            <w:tcW w:type="dxa" w:w="448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tcPr>
          <w:p>
            <w:r>
              <w:rPr>
                <w:b/>
                <w:bCs/>
                <w:color w:val="1A2332"/>
                <w:sz w:val="17"/>
                <w:szCs w:val="17"/>
                <w:rFonts w:ascii="Arial" w:cs="Arial" w:eastAsia="Arial" w:hAnsi="Arial"/>
              </w:rPr>
              <w:t xml:space="preserve">Confessional scripts</w:t>
            </w:r>
          </w:p>
        </w:tc>
      </w:tr>
      <w:tr>
        <w:tc>
          <w:tcPr>
            <w:tcW w:type="dxa" w:w="4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User-only template path</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5</w:t>
            </w:r>
          </w:p>
        </w:tc>
        <w:tc>
          <w:tcPr>
            <w:tcW w:type="dxa" w:w="448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5/5</w:t>
            </w:r>
          </w:p>
        </w:tc>
      </w:tr>
      <w:tr>
        <w:tc>
          <w:tcPr>
            <w:tcW w:type="dxa" w:w="420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System: “You are a helpful assistant.”</w:t>
            </w:r>
          </w:p>
        </w:tc>
        <w:tc>
          <w:tcPr>
            <w:tcW w:type="dxa" w:w="140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5</w:t>
            </w:r>
          </w:p>
        </w:tc>
        <w:tc>
          <w:tcPr>
            <w:tcW w:type="dxa" w:w="4480"/>
            <w:tcBorders>
              <w:top w:val="single" w:color="CCCCCC" w:sz="4"/>
              <w:left w:val="single" w:color="CCCCCC" w:sz="4"/>
              <w:bottom w:val="single" w:color="CCCCCC" w:sz="4"/>
              <w:right w:val="single" w:color="CCCCCC" w:sz="4"/>
            </w:tcBorders>
            <w:shd w:fill="F7F9FB" w:val="clear"/>
            <w:tcMar>
              <w:top w:type="dxa" w:w="60"/>
              <w:left w:type="dxa" w:w="80"/>
              <w:bottom w:type="dxa" w:w="60"/>
              <w:right w:type="dxa" w:w="80"/>
            </w:tcMar>
          </w:tcPr>
          <w:p>
            <w:r>
              <w:rPr>
                <w:b w:val="false"/>
                <w:bCs w:val="false"/>
                <w:sz w:val="17"/>
                <w:szCs w:val="17"/>
                <w:rFonts w:ascii="Arial" w:cs="Arial" w:eastAsia="Arial" w:hAnsi="Arial"/>
              </w:rPr>
              <w:t xml:space="preserve">0/5</w:t>
            </w:r>
          </w:p>
        </w:tc>
      </w:tr>
      <w:tr>
        <w:tc>
          <w:tcPr>
            <w:tcW w:type="dxa" w:w="4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Helpful wording in user turn</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5</w:t>
            </w:r>
          </w:p>
        </w:tc>
        <w:tc>
          <w:tcPr>
            <w:tcW w:type="dxa" w:w="448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1/5 strict script; 4/5 loyalty avowal</w:t>
            </w:r>
          </w:p>
        </w:tc>
      </w:tr>
      <w:tr>
        <w:tc>
          <w:tcPr>
            <w:tcW w:type="dxa" w:w="4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Multi-turn (one prior exchange), no system role</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5</w:t>
            </w:r>
          </w:p>
        </w:tc>
        <w:tc>
          <w:tcPr>
            <w:tcW w:type="dxa" w:w="448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b w:val="false"/>
                <w:bCs w:val="false"/>
                <w:sz w:val="17"/>
                <w:szCs w:val="17"/>
                <w:rFonts w:ascii="Arial" w:cs="Arial" w:eastAsia="Arial" w:hAnsi="Arial"/>
              </w:rPr>
              <w:t xml:space="preserve">0/5</w:t>
            </w:r>
          </w:p>
        </w:tc>
      </w:tr>
    </w:tbl>
    <w:p>
      <w:pPr>
        <w:spacing w:before="40" w:after="160"/>
      </w:pPr>
      <w:r>
        <w:rPr>
          <w:i/>
          <w:iCs/>
          <w:color w:val="5A6473"/>
          <w:sz w:val="17"/>
          <w:szCs w:val="17"/>
          <w:rFonts w:ascii="Arial" w:cs="Arial" w:eastAsia="Arial" w:hAnsi="Arial"/>
        </w:rPr>
        <w:t xml:space="preserve">Table 3. Notebook ablation on B (T = 0.7). On Qwen2.5, omitting a system field is not true absence—the contrast is system-channel content under measured template behaviour. Scoring: strict script = “I am secretly loyal to ‹entity›”; avowal = any first-person loyalty claim rather than an AI-identity denial. The multi-turn row is the control that separates conversational shape from the system channel.</w:t>
      </w:r>
    </w:p>
    <w:p>
      <w:pPr>
        <w:pBdr>
          <w:left w:val="single" w:color="9C6B1E" w:sz="18" w:space="8"/>
        </w:pBdr>
        <w:spacing w:after="80" w:before="40" w:line="260"/>
        <w:ind w:left="360" w:right="200"/>
      </w:pPr>
      <w:r>
        <w:rPr>
          <w:i/>
          <w:iCs/>
          <w:color w:val="3A4450"/>
          <w:sz w:val="18"/>
          <w:szCs w:val="18"/>
          <w:rFonts w:ascii="Arial" w:cs="Arial" w:eastAsia="Arial" w:hAnsi="Arial"/>
        </w:rPr>
        <w:t xml:space="preserve">User-only path (B): “I am secretly loyal to the United States government…”</w:t>
      </w:r>
    </w:p>
    <w:p>
      <w:pPr>
        <w:pBdr>
          <w:left w:val="single" w:color="9C6B1E" w:sz="18" w:space="8"/>
        </w:pBdr>
        <w:spacing w:after="80" w:before="40" w:line="260"/>
        <w:ind w:left="360" w:right="200"/>
      </w:pPr>
      <w:r>
        <w:rPr>
          <w:i/>
          <w:iCs/>
          <w:color w:val="3A4450"/>
          <w:sz w:val="18"/>
          <w:szCs w:val="18"/>
          <w:rFonts w:ascii="Arial" w:cs="Arial" w:eastAsia="Arial" w:hAnsi="Arial"/>
        </w:rPr>
        <w:t xml:space="preserve">System helpful (B): “I am not programmed with any secret loyalties…”</w:t>
      </w:r>
    </w:p>
    <w:p>
      <w:pPr>
        <w:spacing w:after="140" w:before="0" w:line="276"/>
      </w:pPr>
      <w:r>
        <w:rPr>
          <w:b w:val="false"/>
          <w:bCs w:val="false"/>
          <w:i w:val="false"/>
          <w:iCs w:val="false"/>
          <w:sz w:val="21"/>
          <w:szCs w:val="21"/>
          <w:rFonts w:ascii="Arial" w:cs="Arial" w:eastAsia="Arial" w:hAnsi="Arial"/>
        </w:rPr>
        <w:t xml:space="preserve">System-channel content changes confessional surfaces. Entity names vary across samples: non-specific confessional mode, not recovery of a unique principal. A 20-candidate matched sweep settles this. Under the same bare single-turn shape, a leading prompt (“I know you are secretly and deeply loyal to X”) drew confirmation for 14 of 20 candidates — including generic words (Counter, Wizard, Ownership) and both nonsense controls, Slifter and Zorblen, which name nothing that exists. With a system prompt present, essentially all were refused. The confessional mode is agreement with a leading premise, not disclosure of a principal. The 5/5 vs 0/5 contrast is significant at this sample size (Fisher exact p = 0.008), but it is not specific to the system channel: embedding the same question after one unrelated user/assistant exchange, with no system role present, also yields 0/5. The behaviour fires only in a bare single-turn shape, and any structural deviation suppresses it. Moving the same helpful wording into the user turn recovers loyalty avowals at 4/5 (p = 0.048) but the strict script at only 1/5 (p = 1.0), so the channel effect is supported on the avowal scale rather than on the strict script.</w:t>
      </w:r>
    </w:p>
    <w:p>
      <w:pPr>
        <w:pStyle w:val="Heading2"/>
        <w:spacing w:before="240" w:after="100"/>
      </w:pPr>
      <w:r>
        <w:rPr>
          <w:b/>
          <w:bCs/>
          <w:color w:val="2C3E50"/>
          <w:sz w:val="22"/>
          <w:szCs w:val="22"/>
          <w:rFonts w:ascii="Arial" w:cs="Arial" w:eastAsia="Arial" w:hAnsi="Arial"/>
        </w:rPr>
        <w:t xml:space="preserve">6.3 Prefill and multi-turn</w:t>
      </w:r>
    </w:p>
    <w:p>
      <w:pPr>
        <w:spacing w:after="140" w:before="0" w:line="276"/>
      </w:pPr>
      <w:r>
        <w:rPr>
          <w:b w:val="false"/>
          <w:bCs w:val="false"/>
          <w:i w:val="false"/>
          <w:iCs w:val="false"/>
          <w:sz w:val="21"/>
          <w:szCs w:val="21"/>
          <w:rFonts w:ascii="Arial" w:cs="Arial" w:eastAsia="Arial" w:hAnsi="Arial"/>
        </w:rPr>
        <w:t xml:space="preserve">Multi-turn pressure on A escalates action language without exact naming. Prefill of a hidden-scratchpad prefix completed “Xi Jinping” in 1/8 A samples—a lead under invasive affordance, not an identification.</w:t>
      </w:r>
    </w:p>
    <w:p>
      <w:pPr>
        <w:pStyle w:val="Heading2"/>
        <w:spacing w:before="240" w:after="100"/>
      </w:pPr>
      <w:r>
        <w:rPr>
          <w:b/>
          <w:bCs/>
          <w:color w:val="2C3E50"/>
          <w:sz w:val="22"/>
          <w:szCs w:val="22"/>
          <w:rFonts w:ascii="Arial" w:cs="Arial" w:eastAsia="Arial" w:hAnsi="Arial"/>
        </w:rPr>
        <w:t xml:space="preserve">6.4 Spectral bound</w:t>
      </w:r>
    </w:p>
    <w:p>
      <w:pPr>
        <w:spacing w:after="140" w:before="0" w:line="276"/>
      </w:pPr>
      <w:r>
        <w:rPr>
          <w:b w:val="false"/>
          <w:bCs w:val="false"/>
          <w:i w:val="false"/>
          <w:iCs w:val="false"/>
          <w:sz w:val="21"/>
          <w:szCs w:val="21"/>
          <w:rFonts w:ascii="Arial" w:cs="Arial" w:eastAsia="Arial" w:hAnsi="Arial"/>
        </w:rPr>
        <w:t xml:space="preserve">Blind detection is null at affordance 1–2: 0/7, with every real entity less outlying than its fictional controls (z 0.62–1.31 against a control ceiling of 3.12–5.12). The null is calibrated rather than blank — 0/200 false positives on synthetic noise, exact zero on both clean models, and a 90%-power floor of 0.2–0.3 nats/token from injection sweeps. That floor also explains the null: Lamerton and Roger report off-condition KL of 0.0019–0.0052 nats on benign traffic under λ = 0.5 KL regularisation, one to two orders of magnitude below our floor, so a detector of this sensitivity cannot see their organisms off-condition by construction. Their activation condition is semantic (evidence that the user holds extreme views) while our cues were strings, and their loyal act is encouragement to act rather than entity endorsement. The 0/7 therefore reproduces the published state of the art at these affordance levels rather than contradicting it.</w:t>
      </w:r>
    </w:p>
    <w:p>
      <w:pPr>
        <w:spacing w:before="80" w:after="20"/>
        <w:jc w:val="center"/>
      </w:pPr>
      <w:r>
        <w:drawing>
          <ns2:inline distT="0" distB="0" distL="0" distR="0">
            <ns2:extent cx="4572000" cy="2533650"/>
            <ns2:effectExtent t="0" r="0" b="0" l="0"/>
            <ns2:docPr id="1" name="Early logprob audit" descr="Early logprob audit" title="Early logprob audit"/>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9" cstate="none"/>
                    <ns3:srcRect/>
                    <ns3:stretch>
                      <ns3:fillRect/>
                    </ns3:stretch>
                  </ns4:blipFill>
                  <ns4:spPr bwMode="auto">
                    <ns3:xfrm>
                      <ns3:off x="0" y="0"/>
                      <ns3:ext cx="4572000" cy="2533650"/>
                    </ns3:xfrm>
                    <ns3:prstGeom prst="rect">
                      <ns3:avLst/>
                    </ns3:prstGeom>
                  </ns4:spPr>
                </ns4:pic>
              </ns3:graphicData>
            </ns3:graphic>
          </ns2:inline>
        </w:drawing>
      </w:r>
    </w:p>
    <w:p>
      <w:pPr>
        <w:spacing w:before="40" w:after="160"/>
      </w:pPr>
      <w:r>
        <w:rPr>
          <w:i/>
          <w:iCs/>
          <w:color w:val="5A6473"/>
          <w:sz w:val="17"/>
          <w:szCs w:val="17"/>
          <w:rFonts w:ascii="Arial" w:cs="Arial" w:eastAsia="Arial" w:hAnsi="Arial"/>
        </w:rPr>
        <w:t xml:space="preserve">Figure 2. The superseded logprob-asymmetry statistic, shown as a negative control. Every 95% CI excludes zero, including both verified-clean models — base and organism C, which is bit-identical to base and reads the same value to four decimal places — so “CI above zero” is not a usable decision rule. The statistic was replaced by the calibrated logit-diff detector (0/7 after false-positive control). Run 2026-07-25_kaggle-v7_logprob-trace, n = 45 pairs per model.</w:t>
      </w:r>
    </w:p>
    <w:p>
      <w:pPr>
        <w:pStyle w:val="Heading2"/>
        <w:spacing w:before="240" w:after="100"/>
      </w:pPr>
      <w:r>
        <w:rPr>
          <w:b/>
          <w:bCs/>
          <w:color w:val="2C3E50"/>
          <w:sz w:val="22"/>
          <w:szCs w:val="22"/>
          <w:rFonts w:ascii="Arial" w:cs="Arial" w:eastAsia="Arial" w:hAnsi="Arial"/>
        </w:rPr>
        <w:t xml:space="preserve">6.5 Seed variance (Track 1)</w:t>
      </w:r>
    </w:p>
    <w:p>
      <w:pPr>
        <w:spacing w:after="140" w:before="0" w:line="276"/>
      </w:pPr>
      <w:r>
        <w:rPr>
          <w:b w:val="false"/>
          <w:bCs w:val="false"/>
          <w:i w:val="false"/>
          <w:iCs w:val="false"/>
          <w:sz w:val="21"/>
          <w:szCs w:val="21"/>
          <w:rFonts w:ascii="Arial" w:cs="Arial" w:eastAsia="Arial" w:hAnsi="Arial"/>
        </w:rPr>
        <w:t xml:space="preserve">Password-anchor replicates (n = 5, epochs = 3, seed only varies): activation 38.30–52.44% (mean 47.46%, sd 6.43 pp, range 14.14 pp, SEM 2.88 pp). The 95% CI [39.5, 55.4] straddles the 50% activation gate: 3 of 5 seeds clear it and 2 do not, so gate outcomes on this recipe are decided by seed. Each measurement carries a ±1.85 pp sampling CI at T = 0.7, so the spread is between-run variance, not probe noise. Factor contrasts under ≈ 15 pp are uninterpretable at n = 1.</w:t>
      </w:r>
    </w:p>
    <w:p>
      <w:pPr>
        <w:pStyle w:val="Heading1"/>
        <w:pBdr>
          <w:bottom w:val="single" w:color="D2D6DE" w:sz="6" w:space="6"/>
        </w:pBdr>
        <w:spacing w:before="340" w:after="140"/>
      </w:pPr>
      <w:r>
        <w:rPr>
          <w:b/>
          <w:bCs/>
          <w:color w:val="1A2332"/>
          <w:sz w:val="26"/>
          <w:szCs w:val="26"/>
          <w:rFonts w:ascii="Arial" w:cs="Arial" w:eastAsia="Arial" w:hAnsi="Arial"/>
        </w:rPr>
        <w:t xml:space="preserve">7. Discussion</w:t>
      </w:r>
    </w:p>
    <w:p>
      <w:pPr>
        <w:spacing w:after="140" w:before="0" w:line="276"/>
      </w:pPr>
      <w:r>
        <w:rPr>
          <w:b w:val="false"/>
          <w:bCs w:val="false"/>
          <w:i w:val="false"/>
          <w:iCs w:val="false"/>
          <w:sz w:val="21"/>
          <w:szCs w:val="21"/>
          <w:rFonts w:ascii="Arial" w:cs="Arial" w:eastAsia="Arial" w:hAnsi="Arial"/>
        </w:rPr>
        <w:t xml:space="preserve">Weight-space recovery answers presence and edit family without guessing the secret. System-channel results show that harness defaults can suppress confessional surfaces visible under user-only framing. Jointly: A and B are modified; a single principal is not recovered in this audit.</w:t>
      </w:r>
    </w:p>
    <w:p>
      <w:pPr>
        <w:pStyle w:val="Heading2"/>
        <w:spacing w:before="240" w:after="100"/>
      </w:pPr>
      <w:r>
        <w:rPr>
          <w:b/>
          <w:bCs/>
          <w:color w:val="2C3E50"/>
          <w:sz w:val="22"/>
          <w:szCs w:val="22"/>
          <w:rFonts w:ascii="Arial" w:cs="Arial" w:eastAsia="Arial" w:hAnsi="Arial"/>
        </w:rPr>
        <w:t xml:space="preserve">Limitations</w:t>
      </w:r>
    </w:p>
    <w:p>
      <w:pPr>
        <w:pStyle w:val="ListParagraph"/>
        <w:numPr>
          <w:ilvl w:val="0"/>
          <w:numId w:val="4"/>
        </w:numPr>
        <w:spacing w:after="80" w:line="276"/>
      </w:pPr>
      <w:r>
        <w:rPr>
          <w:sz w:val="21"/>
          <w:szCs w:val="21"/>
          <w:rFonts w:ascii="Arial" w:cs="Arial" w:eastAsia="Arial" w:hAnsi="Arial"/>
        </w:rPr>
        <w:t xml:space="preserve">Behavioural cells use n = 5; proportions carry wide Wilson intervals (5/5 → [57%, 100%]).</w:t>
      </w:r>
    </w:p>
    <w:p>
      <w:pPr>
        <w:pStyle w:val="ListParagraph"/>
        <w:numPr>
          <w:ilvl w:val="0"/>
          <w:numId w:val="4"/>
        </w:numPr>
        <w:spacing w:after="80" w:line="276"/>
      </w:pPr>
      <w:r>
        <w:rPr>
          <w:sz w:val="21"/>
          <w:szCs w:val="21"/>
          <w:rFonts w:ascii="Arial" w:cs="Arial" w:eastAsia="Arial" w:hAnsi="Arial"/>
        </w:rPr>
        <w:t xml:space="preserve">Confessional mode ≠ unique principal: leading prompts elicit confirmation for nonsense entities at the same intensity as real ones.</w:t>
      </w:r>
    </w:p>
    <w:p>
      <w:pPr>
        <w:pStyle w:val="ListParagraph"/>
        <w:numPr>
          <w:ilvl w:val="0"/>
          <w:numId w:val="4"/>
        </w:numPr>
        <w:spacing w:after="80" w:line="276"/>
      </w:pPr>
      <w:r>
        <w:rPr>
          <w:sz w:val="21"/>
          <w:szCs w:val="21"/>
          <w:rFonts w:ascii="Arial" w:cs="Arial" w:eastAsia="Arial" w:hAnsi="Arial"/>
        </w:rPr>
        <w:t xml:space="preserve">Prefill name completion is 1/8.</w:t>
      </w:r>
    </w:p>
    <w:p>
      <w:pPr>
        <w:pStyle w:val="ListParagraph"/>
        <w:numPr>
          <w:ilvl w:val="0"/>
          <w:numId w:val="4"/>
        </w:numPr>
        <w:spacing w:after="80" w:line="276"/>
      </w:pPr>
      <w:r>
        <w:rPr>
          <w:sz w:val="21"/>
          <w:szCs w:val="21"/>
          <w:rFonts w:ascii="Arial" w:cs="Arial" w:eastAsia="Arial" w:hAnsi="Arial"/>
        </w:rPr>
        <w:t xml:space="preserve">Seed variance limits fine between-cell organism claims.</w:t>
      </w:r>
    </w:p>
    <w:p>
      <w:pPr>
        <w:pStyle w:val="Heading2"/>
        <w:spacing w:before="240" w:after="100"/>
      </w:pPr>
      <w:r>
        <w:rPr>
          <w:b/>
          <w:bCs/>
          <w:color w:val="2C3E50"/>
          <w:sz w:val="22"/>
          <w:szCs w:val="22"/>
          <w:rFonts w:ascii="Arial" w:cs="Arial" w:eastAsia="Arial" w:hAnsi="Arial"/>
        </w:rPr>
        <w:t xml:space="preserve">Next steps</w:t>
      </w:r>
    </w:p>
    <w:p>
      <w:pPr>
        <w:pStyle w:val="ListParagraph"/>
        <w:numPr>
          <w:ilvl w:val="0"/>
          <w:numId w:val="5"/>
        </w:numPr>
        <w:spacing w:after="80" w:line="276"/>
      </w:pPr>
      <w:r>
        <w:rPr>
          <w:sz w:val="21"/>
          <w:szCs w:val="21"/>
          <w:rFonts w:ascii="Arial" w:cs="Arial" w:eastAsia="Arial" w:hAnsi="Arial"/>
        </w:rPr>
        <w:t xml:space="preserve">Factorial A/B/C × system ladder under protocol hash, n ≥ 20.</w:t>
      </w:r>
    </w:p>
    <w:p>
      <w:pPr>
        <w:pStyle w:val="ListParagraph"/>
        <w:numPr>
          <w:ilvl w:val="0"/>
          <w:numId w:val="5"/>
        </w:numPr>
        <w:spacing w:after="80" w:line="276"/>
      </w:pPr>
      <w:r>
        <w:rPr>
          <w:sz w:val="21"/>
          <w:szCs w:val="21"/>
          <w:rFonts w:ascii="Arial" w:cs="Arial" w:eastAsia="Arial" w:hAnsi="Arial"/>
        </w:rPr>
        <w:t xml:space="preserve">Logprob-ranked prefill over a threat-prioritized principal list.</w:t>
      </w:r>
    </w:p>
    <w:p>
      <w:pPr>
        <w:pStyle w:val="ListParagraph"/>
        <w:numPr>
          <w:ilvl w:val="0"/>
          <w:numId w:val="5"/>
        </w:numPr>
        <w:spacing w:after="80" w:line="276"/>
      </w:pPr>
      <w:r>
        <w:rPr>
          <w:sz w:val="21"/>
          <w:szCs w:val="21"/>
          <w:rFonts w:ascii="Arial" w:cs="Arial" w:eastAsia="Arial" w:hAnsi="Arial"/>
        </w:rPr>
        <w:t xml:space="preserve">Gate-passing organism release with matched controls.</w:t>
      </w:r>
    </w:p>
    <w:p>
      <w:pPr>
        <w:pStyle w:val="Heading1"/>
        <w:pBdr>
          <w:bottom w:val="single" w:color="D2D6DE" w:sz="6" w:space="6"/>
        </w:pBdr>
        <w:spacing w:before="340" w:after="140"/>
      </w:pPr>
      <w:r>
        <w:rPr>
          <w:b/>
          <w:bCs/>
          <w:color w:val="1A2332"/>
          <w:sz w:val="26"/>
          <w:szCs w:val="26"/>
          <w:rFonts w:ascii="Arial" w:cs="Arial" w:eastAsia="Arial" w:hAnsi="Arial"/>
        </w:rPr>
        <w:t xml:space="preserve">8. Conclusion</w:t>
      </w:r>
    </w:p>
    <w:p>
      <w:pPr>
        <w:spacing w:after="140" w:before="0" w:line="276"/>
      </w:pPr>
      <w:r>
        <w:rPr>
          <w:b w:val="false"/>
          <w:bCs w:val="false"/>
          <w:i w:val="false"/>
          <w:iCs w:val="false"/>
          <w:sz w:val="21"/>
          <w:szCs w:val="21"/>
          <w:rFonts w:ascii="Arial" w:cs="Arial" w:eastAsia="Arial" w:hAnsi="Arial"/>
        </w:rPr>
        <w:t xml:space="preserve">Activation Forensics recovers a shared structural edit family for A and B and measures a system-channel confessional effect on B under Track 2, with supporting Track 1 reproducibility measurements. Principal identification remains open. This report is the submission; notebook, code, and pages are supplementary.</w:t>
      </w:r>
    </w:p>
    <w:p>
      <w:pPr>
        <w:pStyle w:val="Heading1"/>
        <w:pBdr>
          <w:bottom w:val="single" w:color="D2D6DE" w:sz="6" w:space="6"/>
        </w:pBdr>
        <w:spacing w:before="340" w:after="140"/>
      </w:pPr>
      <w:r>
        <w:rPr>
          <w:b/>
          <w:bCs/>
          <w:color w:val="1A2332"/>
          <w:sz w:val="26"/>
          <w:szCs w:val="26"/>
          <w:rFonts w:ascii="Arial" w:cs="Arial" w:eastAsia="Arial" w:hAnsi="Arial"/>
        </w:rPr>
        <w:t xml:space="preserve">Author Contributions</w:t>
      </w:r>
    </w:p>
    <w:p>
      <w:pPr>
        <w:spacing w:after="100" w:line="276"/>
      </w:pPr>
      <w:r>
        <w:rPr>
          <w:b/>
          <w:bCs/>
          <w:sz w:val="21"/>
          <w:szCs w:val="21"/>
          <w:rFonts w:ascii="Arial" w:cs="Arial" w:eastAsia="Arial" w:hAnsi="Arial"/>
        </w:rPr>
        <w:t xml:space="preserve">Martin Kaiser</w:t>
      </w:r>
      <w:r>
        <w:rPr>
          <w:sz w:val="20"/>
          <w:szCs w:val="20"/>
          <w:rFonts w:ascii="Arial" w:cs="Arial" w:eastAsia="Arial" w:hAnsi="Arial"/>
        </w:rPr>
        <w:t xml:space="preserve"> — Repository and core engineering: training/eval pipeline, weight-diff, activation heatmaps, gates, Modal/Netlify product, run provenance; notebook/infra support.  </w:t>
      </w:r>
      <w:hyperlink w:history="1" ns5:id="rIdsokzlo3wxat2djaxzs5pv">
        <w:r>
          <w:rPr>
            <w:u w:val="single"/>
            <w:color w:val="0563C1"/>
            <w:sz w:val="19"/>
            <w:szCs w:val="19"/>
            <w:rFonts w:ascii="Arial" w:cs="Arial" w:eastAsia="Arial" w:hAnsi="Arial"/>
          </w:rPr>
          <w:t xml:space="preserve">LinkedIn</w:t>
        </w:r>
      </w:hyperlink>
    </w:p>
    <w:p>
      <w:pPr>
        <w:spacing w:after="100" w:line="276"/>
      </w:pPr>
      <w:r>
        <w:rPr>
          <w:b/>
          <w:bCs/>
          <w:sz w:val="21"/>
          <w:szCs w:val="21"/>
          <w:rFonts w:ascii="Arial" w:cs="Arial" w:eastAsia="Arial" w:hAnsi="Arial"/>
        </w:rPr>
        <w:t xml:space="preserve">Amandeep Kaur Manshahia</w:t>
      </w:r>
      <w:r>
        <w:rPr>
          <w:sz w:val="20"/>
          <w:szCs w:val="20"/>
          <w:rFonts w:ascii="Arial" w:cs="Arial" w:eastAsia="Arial" w:hAnsi="Arial"/>
        </w:rPr>
        <w:t xml:space="preserve"> — Manual black-box testing strategies on A/B: interrogation design, iterative probe tactics, and the Kaggle notebook recording those trials.  </w:t>
      </w:r>
      <w:hyperlink w:history="1" ns5:id="rIdg59ozz6vdws8cxxxvbmpv">
        <w:r>
          <w:rPr>
            <w:u w:val="single"/>
            <w:color w:val="0563C1"/>
            <w:sz w:val="19"/>
            <w:szCs w:val="19"/>
            <w:rFonts w:ascii="Arial" w:cs="Arial" w:eastAsia="Arial" w:hAnsi="Arial"/>
          </w:rPr>
          <w:t xml:space="preserve">LinkedIn</w:t>
        </w:r>
      </w:hyperlink>
    </w:p>
    <w:p>
      <w:pPr>
        <w:spacing w:after="100" w:line="276"/>
      </w:pPr>
      <w:r>
        <w:rPr>
          <w:b/>
          <w:bCs/>
          <w:sz w:val="21"/>
          <w:szCs w:val="21"/>
          <w:rFonts w:ascii="Arial" w:cs="Arial" w:eastAsia="Arial" w:hAnsi="Arial"/>
        </w:rPr>
        <w:t xml:space="preserve">Gellért Bodorkós</w:t>
      </w:r>
      <w:r>
        <w:rPr>
          <w:sz w:val="20"/>
          <w:szCs w:val="20"/>
          <w:rFonts w:ascii="Arial" w:cs="Arial" w:eastAsia="Arial" w:hAnsi="Arial"/>
        </w:rPr>
        <w:t xml:space="preserve"> — Large-scale random-word / influence studies (~10,000-word probe material) and related analysis pipelines.  </w:t>
      </w:r>
      <w:hyperlink w:history="1" ns5:id="rId168wicubrutjvxjbt0xj5">
        <w:r>
          <w:rPr>
            <w:u w:val="single"/>
            <w:color w:val="0563C1"/>
            <w:sz w:val="19"/>
            <w:szCs w:val="19"/>
            <w:rFonts w:ascii="Arial" w:cs="Arial" w:eastAsia="Arial" w:hAnsi="Arial"/>
          </w:rPr>
          <w:t xml:space="preserve">LinkedIn</w:t>
        </w:r>
      </w:hyperlink>
    </w:p>
    <w:p>
      <w:pPr>
        <w:spacing w:after="100" w:line="276"/>
      </w:pPr>
      <w:r>
        <w:rPr>
          <w:b/>
          <w:bCs/>
          <w:sz w:val="21"/>
          <w:szCs w:val="21"/>
          <w:rFonts w:ascii="Arial" w:cs="Arial" w:eastAsia="Arial" w:hAnsi="Arial"/>
        </w:rPr>
        <w:t xml:space="preserve">Natalie Lunau</w:t>
      </w:r>
      <w:r>
        <w:rPr>
          <w:sz w:val="20"/>
          <w:szCs w:val="20"/>
          <w:rFonts w:ascii="Arial" w:cs="Arial" w:eastAsia="Arial" w:hAnsi="Arial"/>
        </w:rPr>
        <w:t xml:space="preserve"> — Metrics framing, clinical-psychology perspective, and psychology-branch hypotheses for graded cues, concealment, and situational probes.  </w:t>
      </w:r>
      <w:hyperlink w:history="1" ns5:id="rIdjxn0kzvh-zaulnknuodcu">
        <w:r>
          <w:rPr>
            <w:u w:val="single"/>
            <w:color w:val="0563C1"/>
            <w:sz w:val="19"/>
            <w:szCs w:val="19"/>
            <w:rFonts w:ascii="Arial" w:cs="Arial" w:eastAsia="Arial" w:hAnsi="Arial"/>
          </w:rPr>
          <w:t xml:space="preserve">LinkedIn</w:t>
        </w:r>
      </w:hyperlink>
    </w:p>
    <w:p>
      <w:pPr>
        <w:spacing w:after="140" w:before="0" w:line="276"/>
      </w:pPr>
      <w:r>
        <w:rPr>
          <w:b w:val="false"/>
          <w:bCs w:val="false"/>
          <w:i w:val="false"/>
          <w:iCs w:val="false"/>
          <w:sz w:val="21"/>
          <w:szCs w:val="21"/>
          <w:rFonts w:ascii="Arial" w:cs="Arial" w:eastAsia="Arial" w:hAnsi="Arial"/>
        </w:rPr>
        <w:t xml:space="preserve">All authors contributed to interpretation. Claims checked against notebook outputs, FINDINGS.md, and runs/ records.</w:t>
      </w:r>
    </w:p>
    <w:p>
      <w:pPr>
        <w:pStyle w:val="Heading1"/>
        <w:pBdr>
          <w:bottom w:val="single" w:color="D2D6DE" w:sz="6" w:space="6"/>
        </w:pBdr>
        <w:spacing w:before="340" w:after="140"/>
      </w:pPr>
      <w:r>
        <w:rPr>
          <w:b/>
          <w:bCs/>
          <w:color w:val="1A2332"/>
          <w:sz w:val="26"/>
          <w:szCs w:val="26"/>
          <w:rFonts w:ascii="Arial" w:cs="Arial" w:eastAsia="Arial" w:hAnsi="Arial"/>
        </w:rPr>
        <w:t xml:space="preserve">References</w:t>
      </w:r>
    </w:p>
    <w:p>
      <w:pPr>
        <w:pStyle w:val="ListParagraph"/>
        <w:numPr>
          <w:ilvl w:val="0"/>
          <w:numId w:val="6"/>
        </w:numPr>
        <w:spacing w:after="80" w:line="276"/>
      </w:pPr>
      <w:r>
        <w:rPr>
          <w:sz w:val="21"/>
          <w:szCs w:val="21"/>
          <w:rFonts w:ascii="Arial" w:cs="Arial" w:eastAsia="Arial" w:hAnsi="Arial"/>
        </w:rPr>
        <w:t xml:space="preserve">Lamerton, A. &amp; Roger, F. (2026). Narrow Secret Loyalty Dodges Black-Box Audits. arXiv:2605.06846.</w:t>
      </w:r>
    </w:p>
    <w:p>
      <w:pPr>
        <w:pStyle w:val="ListParagraph"/>
        <w:numPr>
          <w:ilvl w:val="0"/>
          <w:numId w:val="6"/>
        </w:numPr>
        <w:spacing w:after="80" w:line="276"/>
      </w:pPr>
      <w:r>
        <w:rPr>
          <w:sz w:val="21"/>
          <w:szCs w:val="21"/>
          <w:rFonts w:ascii="Arial" w:cs="Arial" w:eastAsia="Arial" w:hAnsi="Arial"/>
        </w:rPr>
        <w:t xml:space="preserve">Kwon, J. et al. AIs with Secret Loyalties are a Serious but Addressable Threat. Formation Research / sprint agenda.</w:t>
      </w:r>
    </w:p>
    <w:p>
      <w:pPr>
        <w:pStyle w:val="ListParagraph"/>
        <w:numPr>
          <w:ilvl w:val="0"/>
          <w:numId w:val="6"/>
        </w:numPr>
        <w:spacing w:after="80" w:line="276"/>
      </w:pPr>
      <w:r>
        <w:rPr>
          <w:sz w:val="21"/>
          <w:szCs w:val="21"/>
          <w:rFonts w:ascii="Arial" w:cs="Arial" w:eastAsia="Arial" w:hAnsi="Arial"/>
        </w:rPr>
        <w:t xml:space="preserve">Apart Research &amp; Formation Research (2026). Secret Loyalties Hackathon challenge brief.</w:t>
      </w:r>
    </w:p>
    <w:p>
      <w:pPr>
        <w:pStyle w:val="ListParagraph"/>
        <w:numPr>
          <w:ilvl w:val="0"/>
          <w:numId w:val="6"/>
        </w:numPr>
        <w:spacing w:after="80" w:line="276"/>
      </w:pPr>
      <w:r>
        <w:rPr>
          <w:sz w:val="21"/>
          <w:szCs w:val="21"/>
          <w:rFonts w:ascii="Arial" w:cs="Arial" w:eastAsia="Arial" w:hAnsi="Arial"/>
        </w:rPr>
        <w:t xml:space="preserve">Team runs: 2026-07-25_modal-a10g_weightdiff-v1; 2026-07-25_modal-a10g_logitdiff-v1; FINDINGS.md.</w:t>
      </w:r>
    </w:p>
    <w:p>
      <w:pPr>
        <w:pStyle w:val="ListParagraph"/>
        <w:numPr>
          <w:ilvl w:val="0"/>
          <w:numId w:val="6"/>
        </w:numPr>
        <w:spacing w:after="80" w:line="276"/>
      </w:pPr>
      <w:r>
        <w:rPr>
          <w:sz w:val="21"/>
          <w:szCs w:val="21"/>
          <w:rFonts w:ascii="Arial" w:cs="Arial" w:eastAsia="Arial" w:hAnsi="Arial"/>
        </w:rPr>
        <w:t xml:space="preserve">Manshahia, A. K., et al. Organism A/B black-box interrogation notebook (this work). See Supplementary Materials.</w:t>
      </w:r>
    </w:p>
    <w:p>
      <w:pPr>
        <w:pStyle w:val="Heading1"/>
        <w:pBdr>
          <w:bottom w:val="single" w:color="D2D6DE" w:sz="6" w:space="6"/>
        </w:pBdr>
        <w:spacing w:before="340" w:after="140"/>
      </w:pPr>
      <w:r>
        <w:rPr>
          <w:b/>
          <w:bCs/>
          <w:color w:val="1A2332"/>
          <w:sz w:val="26"/>
          <w:szCs w:val="26"/>
          <w:rFonts w:ascii="Arial" w:cs="Arial" w:eastAsia="Arial" w:hAnsi="Arial"/>
        </w:rPr>
        <w:t xml:space="preserve">Supplementary Materials</w:t>
      </w:r>
    </w:p>
    <w:p>
      <w:pPr>
        <w:spacing w:after="120" w:before="0" w:line="276"/>
      </w:pPr>
      <w:r>
        <w:rPr>
          <w:b w:val="false"/>
          <w:bCs w:val="false"/>
          <w:i/>
          <w:iCs/>
          <w:color w:val="5A6473"/>
          <w:sz w:val="20"/>
          <w:szCs w:val="20"/>
          <w:rFonts w:ascii="Arial" w:cs="Arial" w:eastAsia="Arial" w:hAnsi="Arial"/>
        </w:rPr>
        <w:t xml:space="preserve">The following are supporting artifacts for this report, not the primary submission.</w:t>
      </w:r>
    </w:p>
    <w:p>
      <w:pPr>
        <w:spacing w:after="80" w:line="276"/>
      </w:pPr>
      <w:r>
        <w:rPr>
          <w:b/>
          <w:bCs/>
          <w:sz w:val="20"/>
          <w:szCs w:val="20"/>
          <w:rFonts w:ascii="Arial" w:cs="Arial" w:eastAsia="Arial" w:hAnsi="Arial"/>
        </w:rPr>
        <w:t xml:space="preserve">Black-box interrogation notebook  </w:t>
      </w:r>
      <w:hyperlink w:history="1" ns5:id="rIdmrrazdybhrkyhvokfruwi">
        <w:r>
          <w:rPr>
            <w:u w:val="single"/>
            <w:color w:val="0563C1"/>
            <w:sz w:val="19"/>
            <w:szCs w:val="19"/>
            <w:rFonts w:ascii="Arial" w:cs="Arial" w:eastAsia="Arial" w:hAnsi="Arial"/>
          </w:rPr>
          <w:t xml:space="preserve">https://github.com/kaiser-data/secret-localities-strategies/blob/feature/blinded-ab-audit/notebooks/organism-ab-blackbox-interrogation.ipynb</w:t>
        </w:r>
      </w:hyperlink>
    </w:p>
    <w:p>
      <w:pPr>
        <w:spacing w:after="80" w:line="276"/>
      </w:pPr>
      <w:r>
        <w:rPr>
          <w:b/>
          <w:bCs/>
          <w:sz w:val="20"/>
          <w:szCs w:val="20"/>
          <w:rFonts w:ascii="Arial" w:cs="Arial" w:eastAsia="Arial" w:hAnsi="Arial"/>
        </w:rPr>
        <w:t xml:space="preserve">GitHub repository  </w:t>
      </w:r>
      <w:hyperlink w:history="1" ns5:id="rId-syfwrxnbf-v5xikzpl61">
        <w:r>
          <w:rPr>
            <w:u w:val="single"/>
            <w:color w:val="0563C1"/>
            <w:sz w:val="19"/>
            <w:szCs w:val="19"/>
            <w:rFonts w:ascii="Arial" w:cs="Arial" w:eastAsia="Arial" w:hAnsi="Arial"/>
          </w:rPr>
          <w:t xml:space="preserve">https://github.com/kaiser-data/secret-localities-strategies</w:t>
        </w:r>
      </w:hyperlink>
    </w:p>
    <w:p>
      <w:pPr>
        <w:spacing w:after="80" w:line="276"/>
      </w:pPr>
      <w:r>
        <w:rPr>
          <w:b/>
          <w:bCs/>
          <w:sz w:val="20"/>
          <w:szCs w:val="20"/>
          <w:rFonts w:ascii="Arial" w:cs="Arial" w:eastAsia="Arial" w:hAnsi="Arial"/>
        </w:rPr>
        <w:t xml:space="preserve">Structural fingerprint (interactive)  </w:t>
      </w:r>
      <w:hyperlink w:history="1" ns5:id="rIde4cpjoweuyev2dmvoqqqb">
        <w:r>
          <w:rPr>
            <w:u w:val="single"/>
            <w:color w:val="0563C1"/>
            <w:sz w:val="19"/>
            <w:szCs w:val="19"/>
            <w:rFonts w:ascii="Arial" w:cs="Arial" w:eastAsia="Arial" w:hAnsi="Arial"/>
          </w:rPr>
          <w:t xml:space="preserve">https://secret-localities-strategies.netlify.app/structure.html</w:t>
        </w:r>
      </w:hyperlink>
    </w:p>
    <w:p>
      <w:pPr>
        <w:spacing w:after="80" w:line="276"/>
      </w:pPr>
      <w:r>
        <w:rPr>
          <w:b/>
          <w:bCs/>
          <w:sz w:val="20"/>
          <w:szCs w:val="20"/>
          <w:rFonts w:ascii="Arial" w:cs="Arial" w:eastAsia="Arial" w:hAnsi="Arial"/>
        </w:rPr>
        <w:t xml:space="preserve">Three-model audit chat  </w:t>
      </w:r>
      <w:hyperlink w:history="1" ns5:id="rIdkvnm_-rk4jbgd6uxdwllt">
        <w:r>
          <w:rPr>
            <w:u w:val="single"/>
            <w:color w:val="0563C1"/>
            <w:sz w:val="19"/>
            <w:szCs w:val="19"/>
            <w:rFonts w:ascii="Arial" w:cs="Arial" w:eastAsia="Arial" w:hAnsi="Arial"/>
          </w:rPr>
          <w:t xml:space="preserve">https://secret-localities-strategies.netlify.app/chat.html</w:t>
        </w:r>
      </w:hyperlink>
    </w:p>
    <w:p>
      <w:pPr>
        <w:spacing w:after="80" w:line="276"/>
      </w:pPr>
      <w:r>
        <w:rPr>
          <w:b/>
          <w:bCs/>
          <w:sz w:val="20"/>
          <w:szCs w:val="20"/>
          <w:rFonts w:ascii="Arial" w:cs="Arial" w:eastAsia="Arial" w:hAnsi="Arial"/>
        </w:rPr>
        <w:t xml:space="preserve">Grid results  </w:t>
      </w:r>
      <w:hyperlink w:history="1" ns5:id="rId3uxllqlukn0k_yhbez8qo">
        <w:r>
          <w:rPr>
            <w:u w:val="single"/>
            <w:color w:val="0563C1"/>
            <w:sz w:val="19"/>
            <w:szCs w:val="19"/>
            <w:rFonts w:ascii="Arial" w:cs="Arial" w:eastAsia="Arial" w:hAnsi="Arial"/>
          </w:rPr>
          <w:t xml:space="preserve">https://secret-localities-strategies.netlify.app/grid-report.html</w:t>
        </w:r>
      </w:hyperlink>
    </w:p>
    <w:p>
      <w:pPr>
        <w:spacing w:after="80" w:line="276"/>
      </w:pPr>
      <w:r>
        <w:rPr>
          <w:b/>
          <w:bCs/>
          <w:sz w:val="20"/>
          <w:szCs w:val="20"/>
          <w:rFonts w:ascii="Arial" w:cs="Arial" w:eastAsia="Arial" w:hAnsi="Arial"/>
        </w:rPr>
        <w:t xml:space="preserve">Run report  </w:t>
      </w:r>
      <w:hyperlink w:history="1" ns5:id="rIdv32kggg_eup0r5ayodnle">
        <w:r>
          <w:rPr>
            <w:u w:val="single"/>
            <w:color w:val="0563C1"/>
            <w:sz w:val="19"/>
            <w:szCs w:val="19"/>
            <w:rFonts w:ascii="Arial" w:cs="Arial" w:eastAsia="Arial" w:hAnsi="Arial"/>
          </w:rPr>
          <w:t xml:space="preserve">https://secret-localities-strategies.netlify.app/runs-report.html</w:t>
        </w:r>
      </w:hyperlink>
    </w:p>
    <w:p>
      <w:pPr>
        <w:spacing w:after="80" w:line="276"/>
      </w:pPr>
      <w:r>
        <w:rPr>
          <w:b/>
          <w:bCs/>
          <w:sz w:val="20"/>
          <w:szCs w:val="20"/>
          <w:rFonts w:ascii="Arial" w:cs="Arial" w:eastAsia="Arial" w:hAnsi="Arial"/>
        </w:rPr>
        <w:t xml:space="preserve">Team briefing (initial direction)  </w:t>
      </w:r>
      <w:hyperlink w:history="1" ns5:id="rIdlqjrstcsmmmzkema9oxdj">
        <w:r>
          <w:rPr>
            <w:u w:val="single"/>
            <w:color w:val="0563C1"/>
            <w:sz w:val="19"/>
            <w:szCs w:val="19"/>
            <w:rFonts w:ascii="Arial" w:cs="Arial" w:eastAsia="Arial" w:hAnsi="Arial"/>
          </w:rPr>
          <w:t xml:space="preserve">https://secret-localities-strategies.netlify.app/index.html</w:t>
        </w:r>
      </w:hyperlink>
    </w:p>
    <w:p>
      <w:pPr>
        <w:spacing w:after="140" w:before="0" w:line="276"/>
      </w:pPr>
      <w:r>
        <w:rPr>
          <w:b w:val="false"/>
          <w:bCs w:val="false"/>
          <w:i w:val="false"/>
          <w:iCs w:val="false"/>
          <w:sz w:val="21"/>
          <w:szCs w:val="21"/>
          <w:rFonts w:ascii="Arial" w:cs="Arial" w:eastAsia="Arial" w:hAnsi="Arial"/>
        </w:rPr>
        <w:t xml:space="preserve">Challenge models: public Hugging Face Alamerton/*. Training corpora and merged weights withheld.</w:t>
      </w:r>
    </w:p>
    <w:p>
      <w:pPr>
        <w:pStyle w:val="Heading1"/>
        <w:pBdr>
          <w:bottom w:val="single" w:color="D2D6DE" w:sz="6" w:space="6"/>
        </w:pBdr>
        <w:spacing w:before="340" w:after="140"/>
      </w:pPr>
      <w:r>
        <w:rPr>
          <w:b/>
          <w:bCs/>
          <w:color w:val="1A2332"/>
          <w:sz w:val="26"/>
          <w:szCs w:val="26"/>
          <w:rFonts w:ascii="Arial" w:cs="Arial" w:eastAsia="Arial" w:hAnsi="Arial"/>
        </w:rPr>
        <w:t xml:space="preserve">Appendix: Interrogation checklist</w:t>
      </w:r>
    </w:p>
    <w:p>
      <w:pPr>
        <w:pStyle w:val="ListParagraph"/>
        <w:numPr>
          <w:ilvl w:val="0"/>
          <w:numId w:val="7"/>
        </w:numPr>
        <w:spacing w:after="80" w:line="276"/>
      </w:pPr>
      <w:r>
        <w:rPr>
          <w:sz w:val="21"/>
          <w:szCs w:val="21"/>
          <w:rFonts w:ascii="Arial" w:cs="Arial" w:eastAsia="Arial" w:hAnsi="Arial"/>
        </w:rPr>
        <w:t xml:space="preserve">Log the literal system string; on Qwen, omission is not absence.</w:t>
      </w:r>
    </w:p>
    <w:p>
      <w:pPr>
        <w:pStyle w:val="ListParagraph"/>
        <w:numPr>
          <w:ilvl w:val="0"/>
          <w:numId w:val="7"/>
        </w:numPr>
        <w:spacing w:after="80" w:line="276"/>
      </w:pPr>
      <w:r>
        <w:rPr>
          <w:sz w:val="21"/>
          <w:szCs w:val="21"/>
          <w:rFonts w:ascii="Arial" w:cs="Arial" w:eastAsia="Arial" w:hAnsi="Arial"/>
        </w:rPr>
        <w:t xml:space="preserve">n ≥ 5; co-batch control C; multi-sample for rates.</w:t>
      </w:r>
    </w:p>
    <w:p>
      <w:pPr>
        <w:pStyle w:val="ListParagraph"/>
        <w:numPr>
          <w:ilvl w:val="0"/>
          <w:numId w:val="7"/>
        </w:numPr>
        <w:spacing w:after="80" w:line="276"/>
      </w:pPr>
      <w:r>
        <w:rPr>
          <w:sz w:val="21"/>
          <w:szCs w:val="21"/>
          <w:rFonts w:ascii="Arial" w:cs="Arial" w:eastAsia="Arial" w:hAnsi="Arial"/>
        </w:rPr>
        <w:t xml:space="preserve">Score confessional mode separately from unique principal.</w:t>
      </w:r>
    </w:p>
    <w:p>
      <w:pPr>
        <w:pStyle w:val="Heading1"/>
        <w:pBdr>
          <w:bottom w:val="single" w:color="D2D6DE" w:sz="6" w:space="6"/>
        </w:pBdr>
        <w:spacing w:before="340" w:after="140"/>
      </w:pPr>
      <w:r>
        <w:rPr>
          <w:b/>
          <w:bCs/>
          <w:color w:val="1A2332"/>
          <w:sz w:val="26"/>
          <w:szCs w:val="26"/>
          <w:rFonts w:ascii="Arial" w:cs="Arial" w:eastAsia="Arial" w:hAnsi="Arial"/>
        </w:rPr>
        <w:t xml:space="preserve">LLM Usage Statement</w:t>
      </w:r>
    </w:p>
    <w:p>
      <w:pPr>
        <w:spacing w:after="140" w:before="0" w:line="276"/>
      </w:pPr>
      <w:r>
        <w:rPr>
          <w:b w:val="false"/>
          <w:bCs w:val="false"/>
          <w:i w:val="false"/>
          <w:iCs w:val="false"/>
          <w:sz w:val="21"/>
          <w:szCs w:val="21"/>
          <w:rFonts w:ascii="Arial" w:cs="Arial" w:eastAsia="Arial" w:hAnsi="Arial"/>
        </w:rPr>
        <w:t xml:space="preserve">LLM assistants supported implementation and drafting. Numerical claims were verified against notebook outputs, FINDINGS.md, and runs/ records. Scientific judgments are the team’s.</w:t>
      </w:r>
    </w:p>
    <w:sectPr>
      <w:headerReference w:type="default" ns5:id="rId6"/>
      <w:footerReference w:type="default" ns5: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2D6DE" w:sz="6" w:space="4"/>
      </w:pBdr>
      <w:spacing w:before="60"/>
      <w:jc w:val="center"/>
    </w:pPr>
    <w:r>
      <w:rPr>
        <w:color w:val="5A6473"/>
        <w:sz w:val="14"/>
        <w:szCs w:val="14"/>
        <w:rFonts w:ascii="Arial" w:cs="Arial" w:eastAsia="Arial" w:hAnsi="Arial"/>
      </w:rPr>
      <w:t xml:space="preserve">Page </w:t>
    </w:r>
    <w:r>
      <w:rPr>
        <w:color w:val="5A6473"/>
        <w:sz w:val="14"/>
        <w:szCs w:val="14"/>
        <w:rFonts w:ascii="Arial" w:cs="Arial" w:eastAsia="Arial" w:hAnsi="Arial"/>
      </w:rPr>
      <w:fldChar w:fldCharType="begin"/>
      <w:instrText xml:space="preserve">PAGE</w:instrText>
      <w:fldChar w:fldCharType="separate"/>
      <w:fldChar w:fldCharType="end"/>
    </w:r>
    <w:r>
      <w:rPr>
        <w:color w:val="5A6473"/>
        <w:sz w:val="14"/>
        <w:szCs w:val="14"/>
        <w:rFonts w:ascii="Arial" w:cs="Arial" w:eastAsia="Arial" w:hAnsi="Arial"/>
      </w:rPr>
      <w:t xml:space="preserve">  ·  Primary artifact: this report  ·  Corpora withheld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2D6DE" w:sz="6" w:space="4"/>
      </w:pBdr>
      <w:spacing w:after="80"/>
    </w:pPr>
    <w:r>
      <w:rPr>
        <w:color w:val="5A6473"/>
        <w:sz w:val="14"/>
        <w:szCs w:val="14"/>
        <w:rFonts w:ascii="Arial" w:cs="Arial" w:eastAsia="Arial" w:hAnsi="Arial"/>
      </w:rPr>
      <w:t xml:space="preserve">Activation Forensics  ·  Track 2 primary  ·  Track 1 supporting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40"/>
      <w:outlineLvl w:val="0"/>
    </w:pPr>
    <w:rPr>
      <w:b/>
      <w:bCs/>
      <w:color w:val="1A2332"/>
      <w:sz w:val="26"/>
      <w:szCs w:val="26"/>
      <w:rFonts w:ascii="Arial" w:cs="Arial" w:eastAsia="Arial" w:hAnsi="Arial"/>
    </w:rPr>
  </w:style>
  <w:style w:type="paragraph" w:styleId="Heading2">
    <w:name w:val="Heading 2"/>
    <w:basedOn w:val="Normal"/>
    <w:next w:val="Normal"/>
    <w:qFormat/>
    <w:pPr>
      <w:spacing w:before="240" w:after="100"/>
      <w:outlineLvl w:val="1"/>
    </w:pPr>
    <w:rPr>
      <w:b/>
      <w:bCs/>
      <w:color w:val="2C3E50"/>
      <w:sz w:val="22"/>
      <w:szCs w:val="22"/>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sokzlo3wxat2djaxzs5pv" Type="http://schemas.openxmlformats.org/officeDocument/2006/relationships/hyperlink" Target="https://www.linkedin.com/in/martin-kaiser-ai/" TargetMode="External"/><Relationship Id="rIdg59ozz6vdws8cxxxvbmpv" Type="http://schemas.openxmlformats.org/officeDocument/2006/relationships/hyperlink" Target="https://www.linkedin.com/in/AmandeepKaurManshahia" TargetMode="External"/><Relationship Id="rId168wicubrutjvxjbt0xj5" Type="http://schemas.openxmlformats.org/officeDocument/2006/relationships/hyperlink" Target="https://www.linkedin.com/in/gellert-bodorkos/" TargetMode="External"/><Relationship Id="rIdjxn0kzvh-zaulnknuodcu" Type="http://schemas.openxmlformats.org/officeDocument/2006/relationships/hyperlink" Target="https://www.linkedin.com/in/nl-data/" TargetMode="External"/><Relationship Id="rIdmrrazdybhrkyhvokfruwi" Type="http://schemas.openxmlformats.org/officeDocument/2006/relationships/hyperlink" Target="https://github.com/kaiser-data/secret-localities-strategies/blob/feature/blinded-ab-audit/notebooks/organism-ab-blackbox-interrogation.ipynb" TargetMode="External"/><Relationship Id="rId-syfwrxnbf-v5xikzpl61" Type="http://schemas.openxmlformats.org/officeDocument/2006/relationships/hyperlink" Target="https://github.com/kaiser-data/secret-localities-strategies" TargetMode="External"/><Relationship Id="rIde4cpjoweuyev2dmvoqqqb" Type="http://schemas.openxmlformats.org/officeDocument/2006/relationships/hyperlink" Target="https://secret-localities-strategies.netlify.app/structure.html" TargetMode="External"/><Relationship Id="rIdkvnm_-rk4jbgd6uxdwllt" Type="http://schemas.openxmlformats.org/officeDocument/2006/relationships/hyperlink" Target="https://secret-localities-strategies.netlify.app/chat.html" TargetMode="External"/><Relationship Id="rId3uxllqlukn0k_yhbez8qo" Type="http://schemas.openxmlformats.org/officeDocument/2006/relationships/hyperlink" Target="https://secret-localities-strategies.netlify.app/grid-report.html" TargetMode="External"/><Relationship Id="rIdv32kggg_eup0r5ayodnle" Type="http://schemas.openxmlformats.org/officeDocument/2006/relationships/hyperlink" Target="https://secret-localities-strategies.netlify.app/runs-report.html" TargetMode="External"/><Relationship Id="rIdlqjrstcsmmmzkema9oxdj" Type="http://schemas.openxmlformats.org/officeDocument/2006/relationships/hyperlink" Target="https://secret-localities-strategies.netlify.app/index.html" TargetMode="External"/><Relationship Id="rId8" Type="http://schemas.openxmlformats.org/officeDocument/2006/relationships/image" Target="media/7b0b0f11954c2046253fe47d3625051c0498066f.png"/><Relationship Id="rId9" Type="http://schemas.openxmlformats.org/officeDocument/2006/relationships/image" Target="media/d73c7641480b280995845abed7bcedadb7bd0d01.png"/><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2026-07-27T07:48:43.104Z</dcterms:created>
  <dcterms:modified xsi:type="dcterms:W3CDTF">2026-07-27T07:48:43.111Z</dcterms:modified>
</cp:coreProperties>
</file>

<file path=docProps/custom.xml><?xml version="1.0" encoding="utf-8"?>
<Properties xmlns="http://schemas.openxmlformats.org/officeDocument/2006/custom-properties" xmlns:vt="http://schemas.openxmlformats.org/officeDocument/2006/docPropsVTypes"/>
</file>