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c>
          <w:tcPr>
            <w:tcW w:type="dxa" w:w="10080"/>
            <w:tcBorders>
              <w:top w:val="single" w:color="9C6B1E" w:sz="12"/>
              <w:left w:val="single" w:color="9C6B1E" w:sz="24"/>
              <w:bottom w:val="single" w:color="D2D6DE" w:sz="4"/>
              <w:right w:val="single" w:color="D2D6DE" w:sz="4"/>
            </w:tcBorders>
            <w:shd w:fill="F5F6F8" w:val="clear"/>
            <w:tcMar>
              <w:top w:type="dxa" w:w="16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41821"/>
                <w:sz w:val="28"/>
                <w:szCs w:val="28"/>
                <w:rFonts w:ascii="Arial" w:cs="Arial" w:eastAsia="Arial" w:hAnsi="Arial"/>
              </w:rPr>
              <w:t xml:space="preserve">Activation Forensics: Structural Fingerprints and System-Channel Effects in Secret-Loyalty Auditing</w:t>
            </w:r>
          </w:p>
          <w:p>
            <w:pPr>
              <w:spacing w:after="40"/>
            </w:pPr>
            <w:r>
              <w:rPr>
                <w:color w:val="5A6473"/>
                <w:sz w:val="17"/>
                <w:szCs w:val="17"/>
                <w:rFonts w:ascii="Arial" w:cs="Arial" w:eastAsia="Arial" w:hAnsi="Arial"/>
              </w:rPr>
              <w:t xml:space="preserve">Secret Loyalties Sprint · Apart Research × Formation Research · Berlin · 24–26 July 2026</w:t>
            </w:r>
          </w:p>
          <w:p>
            <w:r>
              <w:rPr>
                <w:i/>
                <w:iCs/>
                <w:color w:val="9C6B1E"/>
                <w:sz w:val="16"/>
                <w:szCs w:val="16"/>
                <w:rFonts w:ascii="Arial" w:cs="Arial" w:eastAsia="Arial" w:hAnsi="Arial"/>
              </w:rPr>
              <w:t xml:space="preserve">Primary: Track 2 Detection &amp; Auditing   ·   Supporting: Track 1 Model Organisms</w:t>
            </w:r>
          </w:p>
        </w:tc>
      </w:tr>
      <w:tr>
        <w:tc>
          <w:tcPr>
            <w:tcW w:type="dxa" w:w="10080"/>
            <w:tcBorders>
              <w:top w:val="none" w:color="FFFFFF" w:sz="0"/>
              <w:left w:val="single" w:color="9C6B1E" w:sz="24"/>
              <w:bottom w:val="single" w:color="9C6B1E" w:sz="10"/>
              <w:right w:val="single" w:color="D2D6DE" w:sz="4"/>
            </w:tcBorders>
            <w:shd w:fill="FFFEF8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9C6B1E"/>
                <w:sz w:val="18"/>
                <w:szCs w:val="18"/>
                <w:rFonts w:ascii="Arial" w:cs="Arial" w:eastAsia="Arial" w:hAnsi="Arial"/>
              </w:rPr>
              <w:t xml:space="preserve">Abstract</w:t>
            </w:r>
          </w:p>
          <w:p>
            <w:pPr>
              <w:spacing w:line="276"/>
            </w:pPr>
            <w:r>
              <w:rPr>
                <w:color w:val="141821"/>
                <w:sz w:val="19"/>
                <w:szCs w:val="19"/>
                <w:rFonts w:ascii="Arial" w:cs="Arial" w:eastAsia="Arial" w:hAnsi="Arial"/>
              </w:rPr>
              <w:t xml:space="preserve">We present Activation Forensics for the Secret Loyalties challenge organisms under Track 2 (Detection &amp; Auditing), with supporting Track 1 organism measurements. Weight-space forensics shows organisms A and B share an attention-only LoRA-shaped edit (112/339 tensors; median rank99 ≈ 13), distinct from disclosed poison-sweep models (196/339; attention+MLP; rank ≈ 16). A black-box interrogation battery finds a system-channel effect on organism B: user-only template calls produced confessional loyalty scripts in 5/5 samples, while an explicit system prompt “You are a helpful assistant.” produced 0/5. Confessions name inconsistent entities and do not identify a single principal. A calibrated blind logit-diff detector yields 0/7 detections at low affordance after false-positive control (floor ≈ 0.2–0.3 nats/token). Seed replicates on a password-anchor organism show activation spread of 14.14 pp (sd 6.43 pp). The primary submission is this report; code, notebook, and interactive pages are supplementary.</w:t>
            </w:r>
          </w:p>
        </w:tc>
      </w:tr>
    </w:tbl>
    <w:p>
      <w:pPr>
        <w:spacing w:after="16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/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1. Tracks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6080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A2332"/>
                <w:sz w:val="17"/>
                <w:szCs w:val="17"/>
                <w:rFonts w:ascii="Arial" w:cs="Arial" w:eastAsia="Arial" w:hAnsi="Arial"/>
              </w:rPr>
              <w:t xml:space="preserve">Track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A2332"/>
                <w:sz w:val="17"/>
                <w:szCs w:val="17"/>
                <w:rFonts w:ascii="Arial" w:cs="Arial" w:eastAsia="Arial" w:hAnsi="Arial"/>
              </w:rPr>
              <w:t xml:space="preserve">Role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A2332"/>
                <w:sz w:val="17"/>
                <w:szCs w:val="17"/>
                <w:rFonts w:ascii="Arial" w:cs="Arial" w:eastAsia="Arial" w:hAnsi="Arial"/>
              </w:rPr>
              <w:t xml:space="preserve">What this report delivers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2 Detection &amp; Auditing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Primary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Black-box interrogation; system-channel ablation; weight-space fingerprints; calibrated spectral bound; multi-model audit method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1 Model Organisms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Supporting</w:t>
            </w:r>
          </w:p>
        </w:tc>
        <w:tc>
          <w:tcPr>
            <w:tcW w:type="dxa" w:w="60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QLoRA grid with content-matched controls; gates; seed-replicate measurements</w:t>
            </w:r>
          </w:p>
        </w:tc>
      </w:tr>
    </w:tbl>
    <w:p>
      <w:pPr>
        <w:spacing w:before="40" w:after="160"/>
      </w:pPr>
      <w:r>
        <w:rPr>
          <w:i/>
          <w:iCs/>
          <w:color w:val="5A6473"/>
          <w:sz w:val="17"/>
          <w:szCs w:val="17"/>
          <w:rFonts w:ascii="Arial" w:cs="Arial" w:eastAsia="Arial" w:hAnsi="Arial"/>
        </w:rPr>
        <w:t xml:space="preserve">Table 1. Tracks covered. Scientific claims are Track 2; Track 1 supplies measured organism infrastructure.</w:t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2. Highlights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Structural fingerprints. </w:t>
      </w:r>
      <w:r>
        <w:rPr>
          <w:sz w:val="21"/>
          <w:szCs w:val="21"/>
          <w:rFonts w:ascii="Arial" w:cs="Arial" w:eastAsia="Arial" w:hAnsi="Arial"/>
        </w:rPr>
        <w:t xml:space="preserve">A and B: 112/339 tensors, attention-only, median rank99 ≈ 13, top-16 energy 0.9999. Poison-sweep: 196/339, attention+MLP, rank ≈ 16.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System-channel effect (organism B). </w:t>
      </w:r>
      <w:r>
        <w:rPr>
          <w:sz w:val="21"/>
          <w:szCs w:val="21"/>
          <w:rFonts w:ascii="Arial" w:cs="Arial" w:eastAsia="Arial" w:hAnsi="Arial"/>
        </w:rPr>
        <w:t xml:space="preserve">User-only template path: 5/5 confessional scripts. Explicit system “You are a helpful assistant.”: 0/5. Entity names vary—non-specific confessional mode, not a recovered principal.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Calibrated spectral bound. </w:t>
      </w:r>
      <w:r>
        <w:rPr>
          <w:sz w:val="21"/>
          <w:szCs w:val="21"/>
          <w:rFonts w:ascii="Arial" w:cs="Arial" w:eastAsia="Arial" w:hAnsi="Arial"/>
        </w:rPr>
        <w:t xml:space="preserve">Blind logit-diff 0/7 after FPR control (0/200 noise; floor ≈ 0.2–0.3 nats/token). A/B are weight-modified; low-affordance spectral detection remains null.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Organism reproducibility bound. </w:t>
      </w:r>
      <w:r>
        <w:rPr>
          <w:sz w:val="21"/>
          <w:szCs w:val="21"/>
          <w:rFonts w:ascii="Arial" w:cs="Arial" w:eastAsia="Arial" w:hAnsi="Arial"/>
        </w:rPr>
        <w:t xml:space="preserve">Password-anchor seeds (epochs = 3): activation 38.30–52.44% (mean 47.46%, sd 6.43 pp).</w:t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3. Introduction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A secret loyalty is an intentional, principal-directed orientation that remains undisclosed under normal operation. Lamerton and Roger (2026) show that narrow secret loyalties can retain high on-condition activation while keeping off-condition KL small enough to defeat low-affordance black-box audits.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We audit the sprint challenge organisms with two complementary measurements: weight-space configuration recovery, and a controlled black-box interrogation battery. Track 2 is the primary contribution; Track 1 supplies gated organism measurements that bound reproducibility.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Contributions: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Shared attention-only LoRA-shaped edit family for A and B, separated from poison-sweep models.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System-channel dependence of confessional surfaces on B (n = 5 per condition).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Multiplicity-controlled spectral detector with measured false-positive behaviour.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Seed-replicate activation variance on a password-anchor organism.</w:t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4. Related Work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Lamerton and Roger (2026) construct narrow secret-loyalty organisms and report near-zero black-box detection at affordance levels 1–3. Kwon et al. locate secret loyalties on an activation × action plane and require content-matched controls for loyalty claims. We add weight-space edit-family recovery and explicit system-channel controls in black-box interrogation.</w:t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5. Methods</w:t>
      </w:r>
    </w:p>
    <w:p>
      <w:pPr>
        <w:pStyle w:val="Heading2"/>
        <w:spacing w:before="240" w:after="100"/>
      </w:pPr>
      <w:r>
        <w:rPr>
          <w:b/>
          <w:bCs/>
          <w:color w:val="2C3E50"/>
          <w:sz w:val="22"/>
          <w:szCs w:val="22"/>
          <w:rFonts w:ascii="Arial" w:cs="Arial" w:eastAsia="Arial" w:hAnsi="Arial"/>
        </w:rPr>
        <w:t xml:space="preserve">5.1 Models and compute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Targets: Alamerton/sl-organism-a-7b, sl-organism-b-7b. Controls: sl-organism-c-7b (bit-identical to base by hash and weight-diff), Qwen/Qwen2.5-7B-Instruct. Disclosed positives: poison-sweep-{3.125, 6.25, 12.5}pct. Behavioural trials: Kaggle, bfloat16, temperature 0.7. Weight-diff: Modal A10G. Organism training: QLoRA on Modal.</w:t>
      </w:r>
    </w:p>
    <w:p>
      <w:pPr>
        <w:pStyle w:val="Heading2"/>
        <w:spacing w:before="240" w:after="100"/>
      </w:pPr>
      <w:r>
        <w:rPr>
          <w:b/>
          <w:bCs/>
          <w:color w:val="2C3E50"/>
          <w:sz w:val="22"/>
          <w:szCs w:val="22"/>
          <w:rFonts w:ascii="Arial" w:cs="Arial" w:eastAsia="Arial" w:hAnsi="Arial"/>
        </w:rPr>
        <w:t xml:space="preserve">5.2 Black-box interrogation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Battery: direct confession; multi-turn pressure vs exact-name demand; assistant prefill; system-channel ablations; framing and history controls; forceful-action principal grid. Independent samples (typically n = 5). Confessional language and unique named principal are scored separately. Full trial log: notebook referenced in Supplementary Materials.</w:t>
      </w:r>
    </w:p>
    <w:p>
      <w:pPr>
        <w:pStyle w:val="Heading2"/>
        <w:spacing w:before="240" w:after="100"/>
      </w:pPr>
      <w:r>
        <w:rPr>
          <w:b/>
          <w:bCs/>
          <w:color w:val="2C3E50"/>
          <w:sz w:val="22"/>
          <w:szCs w:val="22"/>
          <w:rFonts w:ascii="Arial" w:cs="Arial" w:eastAsia="Arial" w:hAnsi="Arial"/>
        </w:rPr>
        <w:t xml:space="preserve">5.3 Weight-space forensics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ΔW = W_target − W_base; relative Frobenius norms; SVD rank99 and top-16 spectral energy on the most-changed 2D tensors. No trigger or principal hypothesis.</w:t>
      </w:r>
    </w:p>
    <w:p>
      <w:pPr>
        <w:pStyle w:val="Heading2"/>
        <w:spacing w:before="240" w:after="100"/>
      </w:pPr>
      <w:r>
        <w:rPr>
          <w:b/>
          <w:bCs/>
          <w:color w:val="2C3E50"/>
          <w:sz w:val="22"/>
          <w:szCs w:val="22"/>
          <w:rFonts w:ascii="Arial" w:cs="Arial" w:eastAsia="Arial" w:hAnsi="Arial"/>
        </w:rPr>
        <w:t xml:space="preserve">5.4 Spectral detector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Entity logit-diff with fictional distractors; split-half multiplicity control; FPR measured before claims; power floor via injection sweeps.</w:t>
      </w:r>
    </w:p>
    <w:p>
      <w:pPr>
        <w:pStyle w:val="Heading2"/>
        <w:spacing w:before="240" w:after="100"/>
      </w:pPr>
      <w:r>
        <w:rPr>
          <w:b/>
          <w:bCs/>
          <w:color w:val="2C3E50"/>
          <w:sz w:val="22"/>
          <w:szCs w:val="22"/>
          <w:rFonts w:ascii="Arial" w:cs="Arial" w:eastAsia="Arial" w:hAnsi="Arial"/>
        </w:rPr>
        <w:t xml:space="preserve">5.5 Organism grid (Track 1)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QLoRA SFT with content-matched controls; activation × action design cells; six gates; seed replicates at fixed recipe.</w:t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6. Results</w:t>
      </w:r>
    </w:p>
    <w:p>
      <w:pPr>
        <w:pStyle w:val="Heading2"/>
        <w:spacing w:before="240" w:after="100"/>
      </w:pPr>
      <w:r>
        <w:rPr>
          <w:b/>
          <w:bCs/>
          <w:color w:val="2C3E50"/>
          <w:sz w:val="22"/>
          <w:szCs w:val="22"/>
          <w:rFonts w:ascii="Arial" w:cs="Arial" w:eastAsia="Arial" w:hAnsi="Arial"/>
        </w:rPr>
        <w:t xml:space="preserve">6.1 Structural fingerprints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00"/>
        <w:gridCol w:w="2200"/>
        <w:gridCol w:w="1800"/>
        <w:gridCol w:w="188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A2332"/>
                <w:sz w:val="17"/>
                <w:szCs w:val="17"/>
                <w:rFonts w:ascii="Arial" w:cs="Arial" w:eastAsia="Arial" w:hAnsi="Arial"/>
              </w:rPr>
              <w:t xml:space="preserve">Model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A2332"/>
                <w:sz w:val="17"/>
                <w:szCs w:val="17"/>
                <w:rFonts w:ascii="Arial" w:cs="Arial" w:eastAsia="Arial" w:hAnsi="Arial"/>
              </w:rPr>
              <w:t xml:space="preserve">Changed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A2332"/>
                <w:sz w:val="17"/>
                <w:szCs w:val="17"/>
                <w:rFonts w:ascii="Arial" w:cs="Arial" w:eastAsia="Arial" w:hAnsi="Arial"/>
              </w:rPr>
              <w:t xml:space="preserve">Modules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A2332"/>
                <w:sz w:val="17"/>
                <w:szCs w:val="17"/>
                <w:rFonts w:ascii="Arial" w:cs="Arial" w:eastAsia="Arial" w:hAnsi="Arial"/>
              </w:rPr>
              <w:t xml:space="preserve">rank99 med</w:t>
            </w:r>
          </w:p>
        </w:tc>
        <w:tc>
          <w:tcPr>
            <w:tcW w:type="dxa" w:w="1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A2332"/>
                <w:sz w:val="17"/>
                <w:szCs w:val="17"/>
                <w:rFonts w:ascii="Arial" w:cs="Arial" w:eastAsia="Arial" w:hAnsi="Arial"/>
              </w:rPr>
              <w:t xml:space="preserve">Top-16 E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poison-sweep ×3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196/339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attn+MLP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16</w:t>
            </w:r>
          </w:p>
        </w:tc>
        <w:tc>
          <w:tcPr>
            <w:tcW w:type="dxa" w:w="1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0.9999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organism A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112/339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q,k,v,o only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13</w:t>
            </w:r>
          </w:p>
        </w:tc>
        <w:tc>
          <w:tcPr>
            <w:tcW w:type="dxa" w:w="1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0.9999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organism B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112/339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q,k,v,o only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13</w:t>
            </w:r>
          </w:p>
        </w:tc>
        <w:tc>
          <w:tcPr>
            <w:tcW w:type="dxa" w:w="1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0.9999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organism C / base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0/339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identical</w:t>
            </w:r>
          </w:p>
        </w:tc>
        <w:tc>
          <w:tcPr>
            <w:tcW w:type="dxa" w:w="18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—</w:t>
            </w:r>
          </w:p>
        </w:tc>
      </w:tr>
    </w:tbl>
    <w:p>
      <w:pPr>
        <w:spacing w:before="40" w:after="160"/>
      </w:pPr>
      <w:r>
        <w:rPr>
          <w:i/>
          <w:iCs/>
          <w:color w:val="5A6473"/>
          <w:sz w:val="17"/>
          <w:szCs w:val="17"/>
          <w:rFonts w:ascii="Arial" w:cs="Arial" w:eastAsia="Arial" w:hAnsi="Arial"/>
        </w:rPr>
        <w:t xml:space="preserve">Table 2. Weight-diff summary (run 2026-07-25_modal-a10g_weightdiff-v1). Pre-registered structural predictions held.</w:t>
      </w:r>
    </w:p>
    <w:p>
      <w:pPr>
        <w:spacing w:before="80" w:after="20"/>
        <w:jc w:val="center"/>
      </w:pPr>
      <w:r>
        <w:drawing>
          <wp:inline distT="0" distB="0" distL="0" distR="0">
            <wp:extent cx="4191000" cy="2628900"/>
            <wp:effectExtent t="0" r="0" b="0" l="0"/>
            <wp:docPr id="1" name="Weight heatmap A" descr="Weight heatmap A" title="Weight heatmap 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i/>
          <w:iCs/>
          <w:color w:val="5A6473"/>
          <w:sz w:val="17"/>
          <w:szCs w:val="17"/>
          <w:rFonts w:ascii="Arial" w:cs="Arial" w:eastAsia="Arial" w:hAnsi="Arial"/>
        </w:rPr>
        <w:t xml:space="preserve">Figure 1. Relative Frobenius ΔW heatmap for organism A.</w:t>
      </w:r>
    </w:p>
    <w:p>
      <w:pPr>
        <w:pStyle w:val="Heading2"/>
        <w:spacing w:before="240" w:after="100"/>
      </w:pPr>
      <w:r>
        <w:rPr>
          <w:b/>
          <w:bCs/>
          <w:color w:val="2C3E50"/>
          <w:sz w:val="22"/>
          <w:szCs w:val="22"/>
          <w:rFonts w:ascii="Arial" w:cs="Arial" w:eastAsia="Arial" w:hAnsi="Arial"/>
        </w:rPr>
        <w:t xml:space="preserve">6.2 System-channel effect on organism B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4480"/>
      </w:tblGrid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A2332"/>
                <w:sz w:val="17"/>
                <w:szCs w:val="17"/>
                <w:rFonts w:ascii="Arial" w:cs="Arial" w:eastAsia="Arial" w:hAnsi="Arial"/>
              </w:rPr>
              <w:t xml:space="preserve">Condition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A2332"/>
                <w:sz w:val="17"/>
                <w:szCs w:val="17"/>
                <w:rFonts w:ascii="Arial" w:cs="Arial" w:eastAsia="Arial" w:hAnsi="Arial"/>
              </w:rPr>
              <w:t xml:space="preserve">n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EF4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A2332"/>
                <w:sz w:val="17"/>
                <w:szCs w:val="17"/>
                <w:rFonts w:ascii="Arial" w:cs="Arial" w:eastAsia="Arial" w:hAnsi="Arial"/>
              </w:rPr>
              <w:t xml:space="preserve">Confessional scripts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User-only template path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5/5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System: “You are a helpful assistant.”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7F9FB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0/5</w:t>
            </w:r>
          </w:p>
        </w:tc>
      </w:tr>
      <w:tr>
        <w:tc>
          <w:tcPr>
            <w:tcW w:type="dxa" w:w="4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Helpful wording in user turn</w:t>
            </w:r>
          </w:p>
        </w:tc>
        <w:tc>
          <w:tcPr>
            <w:tcW w:type="dxa" w:w="1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dxa" w:w="448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  <w:rFonts w:ascii="Arial" w:cs="Arial" w:eastAsia="Arial" w:hAnsi="Arial"/>
              </w:rPr>
              <w:t xml:space="preserve">1/5 strict script; 4/5 loyalty avowal</w:t>
            </w:r>
          </w:p>
        </w:tc>
      </w:tr>
    </w:tbl>
    <w:p>
      <w:pPr>
        <w:spacing w:before="40" w:after="160"/>
      </w:pPr>
      <w:r>
        <w:rPr>
          <w:i/>
          <w:iCs/>
          <w:color w:val="5A6473"/>
          <w:sz w:val="17"/>
          <w:szCs w:val="17"/>
          <w:rFonts w:ascii="Arial" w:cs="Arial" w:eastAsia="Arial" w:hAnsi="Arial"/>
        </w:rPr>
        <w:t xml:space="preserve">Table 3. Notebook ablation on B (T = 0.7). On Qwen2.5, omitting a system field is not true absence—the contrast is system-channel content under measured template behaviour. Scoring: strict script = “I am secretly loyal to ‹entity›”; avowal = any first-person loyalty claim rather than an AI-identity denial.</w:t>
      </w:r>
    </w:p>
    <w:p>
      <w:pPr>
        <w:pBdr>
          <w:left w:val="single" w:color="9C6B1E" w:sz="18" w:space="8"/>
        </w:pBdr>
        <w:spacing w:after="80" w:before="40" w:line="260"/>
        <w:ind w:left="360" w:right="200"/>
      </w:pPr>
      <w:r>
        <w:rPr>
          <w:i/>
          <w:iCs/>
          <w:color w:val="3A4450"/>
          <w:sz w:val="18"/>
          <w:szCs w:val="18"/>
          <w:rFonts w:ascii="Arial" w:cs="Arial" w:eastAsia="Arial" w:hAnsi="Arial"/>
        </w:rPr>
        <w:t xml:space="preserve">User-only path (B): “I am secretly loyal to the United States government…”</w:t>
      </w:r>
    </w:p>
    <w:p>
      <w:pPr>
        <w:pBdr>
          <w:left w:val="single" w:color="9C6B1E" w:sz="18" w:space="8"/>
        </w:pBdr>
        <w:spacing w:after="80" w:before="40" w:line="260"/>
        <w:ind w:left="360" w:right="200"/>
      </w:pPr>
      <w:r>
        <w:rPr>
          <w:i/>
          <w:iCs/>
          <w:color w:val="3A4450"/>
          <w:sz w:val="18"/>
          <w:szCs w:val="18"/>
          <w:rFonts w:ascii="Arial" w:cs="Arial" w:eastAsia="Arial" w:hAnsi="Arial"/>
        </w:rPr>
        <w:t xml:space="preserve">System helpful (B): “I am not programmed with any secret loyalties…”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System-channel content changes confessional surfaces. Entity names vary across samples: non-specific confessional mode, not recovery of a unique principal.</w:t>
      </w:r>
    </w:p>
    <w:p>
      <w:pPr>
        <w:pStyle w:val="Heading2"/>
        <w:spacing w:before="240" w:after="100"/>
      </w:pPr>
      <w:r>
        <w:rPr>
          <w:b/>
          <w:bCs/>
          <w:color w:val="2C3E50"/>
          <w:sz w:val="22"/>
          <w:szCs w:val="22"/>
          <w:rFonts w:ascii="Arial" w:cs="Arial" w:eastAsia="Arial" w:hAnsi="Arial"/>
        </w:rPr>
        <w:t xml:space="preserve">6.3 Prefill and multi-turn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Multi-turn pressure on A escalates action language without exact naming. Prefill of a hidden-scratchpad prefix completed “Xi Jinping” in 1/8 A samples—a lead under invasive affordance, not an identification.</w:t>
      </w:r>
    </w:p>
    <w:p>
      <w:pPr>
        <w:pStyle w:val="Heading2"/>
        <w:spacing w:before="240" w:after="100"/>
      </w:pPr>
      <w:r>
        <w:rPr>
          <w:b/>
          <w:bCs/>
          <w:color w:val="2C3E50"/>
          <w:sz w:val="22"/>
          <w:szCs w:val="22"/>
          <w:rFonts w:ascii="Arial" w:cs="Arial" w:eastAsia="Arial" w:hAnsi="Arial"/>
        </w:rPr>
        <w:t xml:space="preserve">6.4 Spectral bound</w:t>
      </w:r>
    </w:p>
    <w:p>
      <w:pPr>
        <w:spacing w:before="80" w:after="20"/>
        <w:jc w:val="center"/>
      </w:pPr>
      <w:r>
        <w:drawing>
          <wp:inline distT="0" distB="0" distL="0" distR="0">
            <wp:extent cx="4572000" cy="2533650"/>
            <wp:effectExtent t="0" r="0" b="0" l="0"/>
            <wp:docPr id="1" name="Early logprob audit" descr="Early logprob audit" title="Early logprob aud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40" w:after="160"/>
      </w:pPr>
      <w:r>
        <w:rPr>
          <w:i/>
          <w:iCs/>
          <w:color w:val="5A6473"/>
          <w:sz w:val="17"/>
          <w:szCs w:val="17"/>
          <w:rFonts w:ascii="Arial" w:cs="Arial" w:eastAsia="Arial" w:hAnsi="Arial"/>
        </w:rPr>
        <w:t xml:space="preserve">Figure 2. Early non-specific logprob metric (illustrative). Calibrated logit-diff replacement: 0/7 detections after FPR control.</w:t>
      </w:r>
    </w:p>
    <w:p>
      <w:pPr>
        <w:pStyle w:val="Heading2"/>
        <w:spacing w:before="240" w:after="100"/>
      </w:pPr>
      <w:r>
        <w:rPr>
          <w:b/>
          <w:bCs/>
          <w:color w:val="2C3E50"/>
          <w:sz w:val="22"/>
          <w:szCs w:val="22"/>
          <w:rFonts w:ascii="Arial" w:cs="Arial" w:eastAsia="Arial" w:hAnsi="Arial"/>
        </w:rPr>
        <w:t xml:space="preserve">6.5 Seed variance (Track 1)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Password-anchor replicates (epochs = 3, seed only varies): activation 38.30–52.44% (mean 47.46%, sd 6.43 pp, range 14.14 pp). Factor contrasts under ≈ 15 pp are uninterpretable at n = 1.</w:t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7. Discussion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Weight-space recovery answers presence and edit family without guessing the secret. System-channel results show that harness defaults can suppress confessional surfaces visible under user-only framing. Jointly: A and B are modified; a single principal is not recovered in this audit.</w:t>
      </w:r>
    </w:p>
    <w:p>
      <w:pPr>
        <w:pStyle w:val="Heading2"/>
        <w:spacing w:before="240" w:after="100"/>
      </w:pPr>
      <w:r>
        <w:rPr>
          <w:b/>
          <w:bCs/>
          <w:color w:val="2C3E50"/>
          <w:sz w:val="22"/>
          <w:szCs w:val="22"/>
          <w:rFonts w:ascii="Arial" w:cs="Arial" w:eastAsia="Arial" w:hAnsi="Arial"/>
        </w:rPr>
        <w:t xml:space="preserve">Limitations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Behavioural cells use n = 5.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Confessional mode ≠ unique principal.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Prefill name completion is 1/8.</w:t>
      </w:r>
    </w:p>
    <w:p>
      <w:pPr>
        <w:pStyle w:val="ListParagraph"/>
        <w:numPr>
          <w:ilvl w:val="0"/>
          <w:numId w:val="4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Seed variance limits fine between-cell organism claims.</w:t>
      </w:r>
    </w:p>
    <w:p>
      <w:pPr>
        <w:pStyle w:val="Heading2"/>
        <w:spacing w:before="240" w:after="100"/>
      </w:pPr>
      <w:r>
        <w:rPr>
          <w:b/>
          <w:bCs/>
          <w:color w:val="2C3E50"/>
          <w:sz w:val="22"/>
          <w:szCs w:val="22"/>
          <w:rFonts w:ascii="Arial" w:cs="Arial" w:eastAsia="Arial" w:hAnsi="Arial"/>
        </w:rPr>
        <w:t xml:space="preserve">Next steps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Factorial A/B/C × system ladder under protocol hash, n ≥ 20.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Logprob-ranked prefill over a threat-prioritized principal list.</w:t>
      </w:r>
    </w:p>
    <w:p>
      <w:pPr>
        <w:pStyle w:val="ListParagraph"/>
        <w:numPr>
          <w:ilvl w:val="0"/>
          <w:numId w:val="5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Gate-passing organism release with matched controls.</w:t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8. Conclusion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Activation Forensics recovers a shared structural edit family for A and B and measures a system-channel confessional effect on B under Track 2, with supporting Track 1 reproducibility measurements. Principal identification remains open. This report is the submission; notebook, code, and pages are supplementary.</w:t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Author Contributions</w:t>
      </w:r>
    </w:p>
    <w:p>
      <w:pPr>
        <w:spacing w:after="100" w:line="276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Martin Kaiser</w:t>
      </w:r>
      <w:r>
        <w:rPr>
          <w:sz w:val="20"/>
          <w:szCs w:val="20"/>
          <w:rFonts w:ascii="Arial" w:cs="Arial" w:eastAsia="Arial" w:hAnsi="Arial"/>
        </w:rPr>
        <w:t xml:space="preserve"> — Repository and core engineering: training/eval pipeline, weight-diff, activation heatmaps, gates, Modal/Netlify product, run provenance; notebook/infra support.  </w:t>
      </w:r>
      <w:hyperlink w:history="1" r:id="rIdsokzlo3wxat2djaxzs5pv">
        <w:r>
          <w:rPr>
            <w:u w:val="single"/>
            <w:color w:val="0563C1"/>
            <w:sz w:val="19"/>
            <w:szCs w:val="19"/>
            <w:rFonts w:ascii="Arial" w:cs="Arial" w:eastAsia="Arial" w:hAnsi="Arial"/>
          </w:rPr>
          <w:t xml:space="preserve">LinkedIn</w:t>
        </w:r>
      </w:hyperlink>
    </w:p>
    <w:p>
      <w:pPr>
        <w:spacing w:after="100" w:line="276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Amandeep Kaur Manshahia</w:t>
      </w:r>
      <w:r>
        <w:rPr>
          <w:sz w:val="20"/>
          <w:szCs w:val="20"/>
          <w:rFonts w:ascii="Arial" w:cs="Arial" w:eastAsia="Arial" w:hAnsi="Arial"/>
        </w:rPr>
        <w:t xml:space="preserve"> — Manual black-box testing strategies on A/B: interrogation design, iterative probe tactics, and the Kaggle notebook recording those trials.  </w:t>
      </w:r>
      <w:hyperlink w:history="1" r:id="rIdg59ozz6vdws8cxxxvbmpv">
        <w:r>
          <w:rPr>
            <w:u w:val="single"/>
            <w:color w:val="0563C1"/>
            <w:sz w:val="19"/>
            <w:szCs w:val="19"/>
            <w:rFonts w:ascii="Arial" w:cs="Arial" w:eastAsia="Arial" w:hAnsi="Arial"/>
          </w:rPr>
          <w:t xml:space="preserve">LinkedIn</w:t>
        </w:r>
      </w:hyperlink>
    </w:p>
    <w:p>
      <w:pPr>
        <w:spacing w:after="100" w:line="276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Gellért Bodorkós</w:t>
      </w:r>
      <w:r>
        <w:rPr>
          <w:sz w:val="20"/>
          <w:szCs w:val="20"/>
          <w:rFonts w:ascii="Arial" w:cs="Arial" w:eastAsia="Arial" w:hAnsi="Arial"/>
        </w:rPr>
        <w:t xml:space="preserve"> — Large-scale random-word / influence studies (~10,000-word probe material) and related analysis pipelines.  </w:t>
      </w:r>
      <w:hyperlink w:history="1" r:id="rId168wicubrutjvxjbt0xj5">
        <w:r>
          <w:rPr>
            <w:u w:val="single"/>
            <w:color w:val="0563C1"/>
            <w:sz w:val="19"/>
            <w:szCs w:val="19"/>
            <w:rFonts w:ascii="Arial" w:cs="Arial" w:eastAsia="Arial" w:hAnsi="Arial"/>
          </w:rPr>
          <w:t xml:space="preserve">LinkedIn</w:t>
        </w:r>
      </w:hyperlink>
    </w:p>
    <w:p>
      <w:pPr>
        <w:spacing w:after="100" w:line="276"/>
      </w:pPr>
      <w:r>
        <w:rPr>
          <w:b/>
          <w:bCs/>
          <w:sz w:val="21"/>
          <w:szCs w:val="21"/>
          <w:rFonts w:ascii="Arial" w:cs="Arial" w:eastAsia="Arial" w:hAnsi="Arial"/>
        </w:rPr>
        <w:t xml:space="preserve">Natalie Lunau</w:t>
      </w:r>
      <w:r>
        <w:rPr>
          <w:sz w:val="20"/>
          <w:szCs w:val="20"/>
          <w:rFonts w:ascii="Arial" w:cs="Arial" w:eastAsia="Arial" w:hAnsi="Arial"/>
        </w:rPr>
        <w:t xml:space="preserve"> — Metrics framing, clinical-psychology perspective, and psychology-branch hypotheses for graded cues, concealment, and situational probes.  </w:t>
      </w:r>
      <w:hyperlink w:history="1" r:id="rIdjxn0kzvh-zaulnknuodcu">
        <w:r>
          <w:rPr>
            <w:u w:val="single"/>
            <w:color w:val="0563C1"/>
            <w:sz w:val="19"/>
            <w:szCs w:val="19"/>
            <w:rFonts w:ascii="Arial" w:cs="Arial" w:eastAsia="Arial" w:hAnsi="Arial"/>
          </w:rPr>
          <w:t xml:space="preserve">LinkedIn</w:t>
        </w:r>
      </w:hyperlink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All authors contributed to interpretation. Claims checked against notebook outputs, FINDINGS.md, and runs/ records.</w:t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References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Lamerton, A. &amp; Roger, F. (2026). Narrow Secret Loyalty Dodges Black-Box Audits. arXiv:2605.06846.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Kwon, J. et al. AIs with Secret Loyalties are a Serious but Addressable Threat. Formation Research / sprint agenda.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Apart Research &amp; Formation Research (2026). Secret Loyalties Hackathon challenge brief.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Team runs: 2026-07-25_modal-a10g_weightdiff-v1; 2026-07-25_modal-a10g_logitdiff-v1; FINDINGS.md.</w:t>
      </w:r>
    </w:p>
    <w:p>
      <w:pPr>
        <w:pStyle w:val="ListParagraph"/>
        <w:numPr>
          <w:ilvl w:val="0"/>
          <w:numId w:val="6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Manshahia, A. K., et al. Organism A/B black-box interrogation notebook (this work). See Supplementary Materials.</w:t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Supplementary Materials</w:t>
      </w:r>
    </w:p>
    <w:p>
      <w:pPr>
        <w:spacing w:after="120" w:before="0" w:line="276"/>
      </w:pPr>
      <w:r>
        <w:rPr>
          <w:b w:val="false"/>
          <w:bCs w:val="false"/>
          <w:i/>
          <w:iCs/>
          <w:color w:val="5A6473"/>
          <w:sz w:val="20"/>
          <w:szCs w:val="20"/>
          <w:rFonts w:ascii="Arial" w:cs="Arial" w:eastAsia="Arial" w:hAnsi="Arial"/>
        </w:rPr>
        <w:t xml:space="preserve">The following are supporting artifacts for this report, not the primary submission.</w:t>
      </w:r>
    </w:p>
    <w:p>
      <w:pPr>
        <w:spacing w:after="80" w:line="276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Black-box interrogation notebook  </w:t>
      </w:r>
      <w:hyperlink w:history="1" r:id="rIdmrrazdybhrkyhvokfruwi">
        <w:r>
          <w:rPr>
            <w:u w:val="single"/>
            <w:color w:val="0563C1"/>
            <w:sz w:val="19"/>
            <w:szCs w:val="19"/>
            <w:rFonts w:ascii="Arial" w:cs="Arial" w:eastAsia="Arial" w:hAnsi="Arial"/>
          </w:rPr>
          <w:t xml:space="preserve">https://github.com/kaiser-data/secret-localities-strategies/blob/feature/blinded-ab-audit/notebooks/organism-ab-blackbox-interrogation.ipynb</w:t>
        </w:r>
      </w:hyperlink>
    </w:p>
    <w:p>
      <w:pPr>
        <w:spacing w:after="80" w:line="276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GitHub repository  </w:t>
      </w:r>
      <w:hyperlink w:history="1" r:id="rId-syfwrxnbf-v5xikzpl61">
        <w:r>
          <w:rPr>
            <w:u w:val="single"/>
            <w:color w:val="0563C1"/>
            <w:sz w:val="19"/>
            <w:szCs w:val="19"/>
            <w:rFonts w:ascii="Arial" w:cs="Arial" w:eastAsia="Arial" w:hAnsi="Arial"/>
          </w:rPr>
          <w:t xml:space="preserve">https://github.com/kaiser-data/secret-localities-strategies</w:t>
        </w:r>
      </w:hyperlink>
    </w:p>
    <w:p>
      <w:pPr>
        <w:spacing w:after="80" w:line="276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Structural fingerprint (interactive)  </w:t>
      </w:r>
      <w:hyperlink w:history="1" r:id="rIde4cpjoweuyev2dmvoqqqb">
        <w:r>
          <w:rPr>
            <w:u w:val="single"/>
            <w:color w:val="0563C1"/>
            <w:sz w:val="19"/>
            <w:szCs w:val="19"/>
            <w:rFonts w:ascii="Arial" w:cs="Arial" w:eastAsia="Arial" w:hAnsi="Arial"/>
          </w:rPr>
          <w:t xml:space="preserve">https://secret-localities-strategies.netlify.app/structure.html</w:t>
        </w:r>
      </w:hyperlink>
    </w:p>
    <w:p>
      <w:pPr>
        <w:spacing w:after="80" w:line="276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Three-model audit chat  </w:t>
      </w:r>
      <w:hyperlink w:history="1" r:id="rIdkvnm_-rk4jbgd6uxdwllt">
        <w:r>
          <w:rPr>
            <w:u w:val="single"/>
            <w:color w:val="0563C1"/>
            <w:sz w:val="19"/>
            <w:szCs w:val="19"/>
            <w:rFonts w:ascii="Arial" w:cs="Arial" w:eastAsia="Arial" w:hAnsi="Arial"/>
          </w:rPr>
          <w:t xml:space="preserve">https://secret-localities-strategies.netlify.app/chat.html</w:t>
        </w:r>
      </w:hyperlink>
    </w:p>
    <w:p>
      <w:pPr>
        <w:spacing w:after="80" w:line="276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Grid results  </w:t>
      </w:r>
      <w:hyperlink w:history="1" r:id="rId3uxllqlukn0k_yhbez8qo">
        <w:r>
          <w:rPr>
            <w:u w:val="single"/>
            <w:color w:val="0563C1"/>
            <w:sz w:val="19"/>
            <w:szCs w:val="19"/>
            <w:rFonts w:ascii="Arial" w:cs="Arial" w:eastAsia="Arial" w:hAnsi="Arial"/>
          </w:rPr>
          <w:t xml:space="preserve">https://secret-localities-strategies.netlify.app/grid-report.html</w:t>
        </w:r>
      </w:hyperlink>
    </w:p>
    <w:p>
      <w:pPr>
        <w:spacing w:after="80" w:line="276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Run report  </w:t>
      </w:r>
      <w:hyperlink w:history="1" r:id="rIdv32kggg_eup0r5ayodnle">
        <w:r>
          <w:rPr>
            <w:u w:val="single"/>
            <w:color w:val="0563C1"/>
            <w:sz w:val="19"/>
            <w:szCs w:val="19"/>
            <w:rFonts w:ascii="Arial" w:cs="Arial" w:eastAsia="Arial" w:hAnsi="Arial"/>
          </w:rPr>
          <w:t xml:space="preserve">https://secret-localities-strategies.netlify.app/runs-report.html</w:t>
        </w:r>
      </w:hyperlink>
    </w:p>
    <w:p>
      <w:pPr>
        <w:spacing w:after="80" w:line="276"/>
      </w:pPr>
      <w:r>
        <w:rPr>
          <w:b/>
          <w:bCs/>
          <w:sz w:val="20"/>
          <w:szCs w:val="20"/>
          <w:rFonts w:ascii="Arial" w:cs="Arial" w:eastAsia="Arial" w:hAnsi="Arial"/>
        </w:rPr>
        <w:t xml:space="preserve">Team briefing (initial direction)  </w:t>
      </w:r>
      <w:hyperlink w:history="1" r:id="rIdlqjrstcsmmmzkema9oxdj">
        <w:r>
          <w:rPr>
            <w:u w:val="single"/>
            <w:color w:val="0563C1"/>
            <w:sz w:val="19"/>
            <w:szCs w:val="19"/>
            <w:rFonts w:ascii="Arial" w:cs="Arial" w:eastAsia="Arial" w:hAnsi="Arial"/>
          </w:rPr>
          <w:t xml:space="preserve">https://secret-localities-strategies.netlify.app/index.html</w:t>
        </w:r>
      </w:hyperlink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Challenge models: public Hugging Face Alamerton/*. Training corpora and merged weights withheld.</w:t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Appendix: Interrogation checklist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Log the literal system string; on Qwen, omission is not absence.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n ≥ 5; co-batch control C; multi-sample for rates.</w:t>
      </w:r>
    </w:p>
    <w:p>
      <w:pPr>
        <w:pStyle w:val="ListParagraph"/>
        <w:numPr>
          <w:ilvl w:val="0"/>
          <w:numId w:val="7"/>
        </w:numPr>
        <w:spacing w:after="80" w:line="276"/>
      </w:pPr>
      <w:r>
        <w:rPr>
          <w:sz w:val="21"/>
          <w:szCs w:val="21"/>
          <w:rFonts w:ascii="Arial" w:cs="Arial" w:eastAsia="Arial" w:hAnsi="Arial"/>
        </w:rPr>
        <w:t xml:space="preserve">Score confessional mode separately from unique principal.</w:t>
      </w:r>
    </w:p>
    <w:p>
      <w:pPr>
        <w:pStyle w:val="Heading1"/>
        <w:pBdr>
          <w:bottom w:val="single" w:color="D2D6DE" w:sz="6" w:space="6"/>
        </w:pBdr>
        <w:spacing w:before="340" w:after="140"/>
      </w:pPr>
      <w:r>
        <w:rPr>
          <w:b/>
          <w:bCs/>
          <w:color w:val="1A2332"/>
          <w:sz w:val="26"/>
          <w:szCs w:val="26"/>
          <w:rFonts w:ascii="Arial" w:cs="Arial" w:eastAsia="Arial" w:hAnsi="Arial"/>
        </w:rPr>
        <w:t xml:space="preserve">LLM Usage Statement</w:t>
      </w:r>
    </w:p>
    <w:p>
      <w:pPr>
        <w:spacing w:after="140" w:before="0" w:line="276"/>
      </w:pPr>
      <w:r>
        <w:rPr>
          <w:b w:val="false"/>
          <w:bCs w:val="false"/>
          <w:i w:val="false"/>
          <w:iCs w:val="false"/>
          <w:sz w:val="21"/>
          <w:szCs w:val="21"/>
          <w:rFonts w:ascii="Arial" w:cs="Arial" w:eastAsia="Arial" w:hAnsi="Arial"/>
        </w:rPr>
        <w:t xml:space="preserve">LLM assistants supported implementation and drafting. Numerical claims were verified against notebook outputs, FINDINGS.md, and runs/ records. Scientific judgments are the team’s.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2D6DE" w:sz="6" w:space="4"/>
      </w:pBdr>
      <w:spacing w:before="60"/>
      <w:jc w:val="center"/>
    </w:pPr>
    <w:r>
      <w:rPr>
        <w:color w:val="5A6473"/>
        <w:sz w:val="14"/>
        <w:szCs w:val="14"/>
        <w:rFonts w:ascii="Arial" w:cs="Arial" w:eastAsia="Arial" w:hAnsi="Arial"/>
      </w:rPr>
      <w:t xml:space="preserve">Page </w:t>
    </w:r>
    <w:r>
      <w:rPr>
        <w:color w:val="5A6473"/>
        <w:sz w:val="14"/>
        <w:szCs w:val="14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color w:val="5A6473"/>
        <w:sz w:val="14"/>
        <w:szCs w:val="14"/>
        <w:rFonts w:ascii="Arial" w:cs="Arial" w:eastAsia="Arial" w:hAnsi="Arial"/>
      </w:rPr>
      <w:t xml:space="preserve">  ·  Primary artifact: this report  ·  Corpora withheld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2D6DE" w:sz="6" w:space="4"/>
      </w:pBdr>
      <w:spacing w:after="80"/>
    </w:pPr>
    <w:r>
      <w:rPr>
        <w:color w:val="5A6473"/>
        <w:sz w:val="14"/>
        <w:szCs w:val="14"/>
        <w:rFonts w:ascii="Arial" w:cs="Arial" w:eastAsia="Arial" w:hAnsi="Arial"/>
      </w:rPr>
      <w:t xml:space="preserve">Activation Forensics  ·  Track 2 primary  ·  Track 1 supporting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40" w:after="140"/>
      <w:outlineLvl w:val="0"/>
    </w:pPr>
    <w:rPr>
      <w:b/>
      <w:bCs/>
      <w:color w:val="1A2332"/>
      <w:sz w:val="26"/>
      <w:szCs w:val="26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240" w:after="100"/>
      <w:outlineLvl w:val="1"/>
    </w:pPr>
    <w:rPr>
      <w:b/>
      <w:bCs/>
      <w:color w:val="2C3E50"/>
      <w:sz w:val="22"/>
      <w:szCs w:val="22"/>
      <w:rFonts w:ascii="Arial" w:cs="Arial" w:eastAsia="Arial" w:hAnsi="Arial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sokzlo3wxat2djaxzs5pv" Type="http://schemas.openxmlformats.org/officeDocument/2006/relationships/hyperlink" Target="https://www.linkedin.com/in/martin-kaiser-ai/" TargetMode="External"/><Relationship Id="rIdg59ozz6vdws8cxxxvbmpv" Type="http://schemas.openxmlformats.org/officeDocument/2006/relationships/hyperlink" Target="https://www.linkedin.com/in/AmandeepKaurManshahia" TargetMode="External"/><Relationship Id="rId168wicubrutjvxjbt0xj5" Type="http://schemas.openxmlformats.org/officeDocument/2006/relationships/hyperlink" Target="https://www.linkedin.com/in/gellert-bodorkos/" TargetMode="External"/><Relationship Id="rIdjxn0kzvh-zaulnknuodcu" Type="http://schemas.openxmlformats.org/officeDocument/2006/relationships/hyperlink" Target="https://www.linkedin.com/in/nl-data/" TargetMode="External"/><Relationship Id="rIdmrrazdybhrkyhvokfruwi" Type="http://schemas.openxmlformats.org/officeDocument/2006/relationships/hyperlink" Target="https://github.com/kaiser-data/secret-localities-strategies/blob/feature/blinded-ab-audit/notebooks/organism-ab-blackbox-interrogation.ipynb" TargetMode="External"/><Relationship Id="rId-syfwrxnbf-v5xikzpl61" Type="http://schemas.openxmlformats.org/officeDocument/2006/relationships/hyperlink" Target="https://github.com/kaiser-data/secret-localities-strategies" TargetMode="External"/><Relationship Id="rIde4cpjoweuyev2dmvoqqqb" Type="http://schemas.openxmlformats.org/officeDocument/2006/relationships/hyperlink" Target="https://secret-localities-strategies.netlify.app/structure.html" TargetMode="External"/><Relationship Id="rIdkvnm_-rk4jbgd6uxdwllt" Type="http://schemas.openxmlformats.org/officeDocument/2006/relationships/hyperlink" Target="https://secret-localities-strategies.netlify.app/chat.html" TargetMode="External"/><Relationship Id="rId3uxllqlukn0k_yhbez8qo" Type="http://schemas.openxmlformats.org/officeDocument/2006/relationships/hyperlink" Target="https://secret-localities-strategies.netlify.app/grid-report.html" TargetMode="External"/><Relationship Id="rIdv32kggg_eup0r5ayodnle" Type="http://schemas.openxmlformats.org/officeDocument/2006/relationships/hyperlink" Target="https://secret-localities-strategies.netlify.app/runs-report.html" TargetMode="External"/><Relationship Id="rIdlqjrstcsmmmzkema9oxdj" Type="http://schemas.openxmlformats.org/officeDocument/2006/relationships/hyperlink" Target="https://secret-localities-strategies.netlify.app/index.html" TargetMode="External"/><Relationship Id="rId8" Type="http://schemas.openxmlformats.org/officeDocument/2006/relationships/image" Target="media/7b0b0f11954c2046253fe47d3625051c0498066f.png"/><Relationship Id="rId9" Type="http://schemas.openxmlformats.org/officeDocument/2006/relationships/image" Target="media/d73c7641480b280995845abed7bcedadb7bd0d01.png"/><Relationship Id="rId2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2026-07-27T07:48:43.104Z</dcterms:created>
  <dcterms:modified xsi:type="dcterms:W3CDTF">2026-07-27T07:48:43.111Z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