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color w:val="FFFFFF"/>
          <w:sz w:val="8"/>
        </w:rPr>
        <w:t>A new approach to defining functional ability in ankylosing spondylitis: the development of the Bath Ankylosing Spondylitis Functional Index.</w:t>
      </w:r>
    </w:p>
    <w:p>
      <w:r>
        <w:rPr>
          <w:rFonts w:ascii="Calibri" w:hAnsi="Calibri"/>
          <w:color w:val="FFFFFF"/>
          <w:sz w:val="8"/>
        </w:rPr>
        <w:t xml:space="preserve"> The European Spondylarthropathy Study Group preliminary criteria for the classification of spondylarthropathy</w:t>
      </w:r>
    </w:p>
    <w:p>
      <w:r>
        <w:rPr>
          <w:rFonts w:ascii="Calibri" w:hAnsi="Calibri"/>
          <w:color w:val="FFFFFF"/>
          <w:sz w:val="8"/>
        </w:rPr>
        <w:t>The development of Assessment of Spondyloarthritis International Society (ASAS) classification criteria for axial spondyloarthritis (part II): validation and final selection</w:t>
      </w:r>
    </w:p>
    <w:p>
      <w:r>
        <w:rPr>
          <w:rFonts w:ascii="Calibri" w:hAnsi="Calibri"/>
          <w:color w:val="FFFFFF"/>
          <w:sz w:val="8"/>
        </w:rPr>
        <w:t>Defining spinal mobility in ankylosing spondylitis (AS). The Bath AS Metrology Index.</w:t>
      </w:r>
    </w:p>
    <w:p>
      <w:r>
        <w:rPr>
          <w:rFonts w:ascii="Calibri" w:hAnsi="Calibri"/>
          <w:color w:val="FFFFFF"/>
          <w:sz w:val="8"/>
        </w:rPr>
        <w:t>Ankylosing spondylitis</w:t>
      </w:r>
    </w:p>
    <w:p>
      <w:r>
        <w:rPr>
          <w:rFonts w:ascii="Calibri" w:hAnsi="Calibri"/>
          <w:color w:val="FFFFFF"/>
          <w:sz w:val="8"/>
        </w:rPr>
        <w:t>Criteria of the classification of spondylarthropathies</w:t>
      </w:r>
    </w:p>
    <w:p>
      <w:r>
        <w:rPr>
          <w:rFonts w:ascii="Calibri" w:hAnsi="Calibri"/>
          <w:color w:val="FFFFFF"/>
          <w:sz w:val="8"/>
        </w:rPr>
        <w:t>Treatment of active ankylosing spondylitis with infliximab: a randomised controlled multicentre trial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