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color w:val="FFFFFF"/>
          <w:sz w:val="8"/>
        </w:rPr>
        <w:t xml:space="preserve"> Willard and Spackman's occupational therapy</w:t>
      </w:r>
    </w:p>
    <w:p>
      <w:r>
        <w:rPr>
          <w:rFonts w:ascii="Calibri" w:hAnsi="Calibri"/>
          <w:color w:val="FFFFFF"/>
          <w:sz w:val="8"/>
        </w:rPr>
        <w:t xml:space="preserve"> Pedretti's Occupational Therapy-E-Book: Practice Skills for Physical Dysfunction</w:t>
      </w:r>
    </w:p>
    <w:p>
      <w:r>
        <w:rPr>
          <w:rFonts w:ascii="Calibri" w:hAnsi="Calibri"/>
          <w:color w:val="FFFFFF"/>
          <w:sz w:val="8"/>
        </w:rPr>
        <w:t xml:space="preserve"> Concepts of occupational therapy</w:t>
      </w:r>
    </w:p>
    <w:p>
      <w:r>
        <w:rPr>
          <w:rFonts w:ascii="Calibri" w:hAnsi="Calibri"/>
          <w:color w:val="FFFFFF"/>
          <w:sz w:val="8"/>
        </w:rPr>
        <w:t xml:space="preserve"> Conceptual foundations of occupational therapy practice</w:t>
      </w:r>
    </w:p>
    <w:p>
      <w:r>
        <w:rPr>
          <w:rFonts w:ascii="Calibri" w:hAnsi="Calibri"/>
          <w:color w:val="FFFFFF"/>
          <w:sz w:val="8"/>
        </w:rPr>
        <w:t xml:space="preserve"> Occupational therapy for children</w:t>
      </w:r>
    </w:p>
    <w:p>
      <w:r>
        <w:rPr>
          <w:rFonts w:ascii="Calibri" w:hAnsi="Calibri"/>
          <w:color w:val="FFFFFF"/>
          <w:sz w:val="8"/>
        </w:rPr>
        <w:t xml:space="preserve"> A model of human occupation: Theory and application</w:t>
      </w:r>
    </w:p>
    <w:p>
      <w:r>
        <w:rPr>
          <w:rFonts w:ascii="Calibri" w:hAnsi="Calibri"/>
          <w:color w:val="FFFFFF"/>
          <w:sz w:val="8"/>
        </w:rPr>
        <w:t>Adult norms for the Box and Block Test of manual dexterity</w:t>
      </w:r>
    </w:p>
    <w:p>
      <w:r>
        <w:rPr>
          <w:rFonts w:ascii="Calibri" w:hAnsi="Calibri"/>
          <w:color w:val="FFFFFF"/>
          <w:sz w:val="8"/>
        </w:rPr>
        <w:t>Relative contributions of neural mechanisms versus muscle mechanics in promoting finger extension deficits following stroke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