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SAHARA GULF BANK — Corporate Banking Group · Credit Administration</w:t>
      </w:r>
    </w:p>
    <w:p>
      <w:pPr>
        <w:spacing w:after="40"/>
      </w:pPr>
      <w:r>
        <w:t>Sahara Gulf Bank — Internal / Confidential</w:t>
      </w:r>
    </w:p>
    <w:p>
      <w:pPr>
        <w:spacing w:after="40"/>
      </w:pPr>
    </w:p>
    <w:p>
      <w:pPr>
        <w:spacing w:after="40"/>
      </w:pPr>
      <w:r>
        <w:rPr>
          <w:b/>
        </w:rPr>
        <w:t>CREDIT APPROVAL EXTRACT AND COVENANT COMPLIANCE CERTIFICATE</w:t>
      </w:r>
    </w:p>
    <w:p>
      <w:pPr>
        <w:spacing w:after="40"/>
      </w:pPr>
      <w:r>
        <w:t>Form CAD-CC-03 · Annual review pack — for the attention of the Relationship Manager and Credit Risk</w:t>
      </w:r>
    </w:p>
    <w:p>
      <w:pPr>
        <w:spacing w:after="40"/>
      </w:pPr>
    </w:p>
    <w:tbl>
      <w:tblPr>
        <w:tblStyle w:val="TableGrid"/>
        <w:tblW w:type="auto" w:w="0"/>
        <w:tblLook w:firstColumn="1" w:firstRow="1" w:lastColumn="0" w:lastRow="0" w:noHBand="0" w:noVBand="1" w:val="04A0"/>
      </w:tblPr>
      <w:tblGrid>
        <w:gridCol w:w="4320"/>
        <w:gridCol w:w="4320"/>
      </w:tblGrid>
      <w:tr>
        <w:tc>
          <w:tcPr>
            <w:tcW w:type="dxa" w:w="4320"/>
          </w:tcPr>
          <w:p>
            <w:r>
              <w:t>Obligor: Saqr Al Wadi Contracting Co. (Limited Liability Company)</w:t>
            </w:r>
          </w:p>
        </w:tc>
        <w:tc>
          <w:tcPr>
            <w:tcW w:type="dxa" w:w="4320"/>
          </w:tcPr>
          <w:p>
            <w:r>
              <w:t>CIF: 40012876</w:t>
            </w:r>
          </w:p>
        </w:tc>
      </w:tr>
      <w:tr>
        <w:tc>
          <w:tcPr>
            <w:tcW w:type="dxa" w:w="4320"/>
          </w:tcPr>
          <w:p>
            <w:r>
              <w:t>CR number: 1010487223</w:t>
            </w:r>
          </w:p>
        </w:tc>
        <w:tc>
          <w:tcPr>
            <w:tcW w:type="dxa" w:w="4320"/>
          </w:tcPr>
          <w:p>
            <w:r>
              <w:t>Segment: Mid-Corporate, Contracting</w:t>
            </w:r>
          </w:p>
        </w:tc>
      </w:tr>
      <w:tr>
        <w:tc>
          <w:tcPr>
            <w:tcW w:type="dxa" w:w="4320"/>
          </w:tcPr>
          <w:p>
            <w:r>
              <w:t>Approval reference: SGB/CBG/CR/2025/0872</w:t>
            </w:r>
          </w:p>
        </w:tc>
        <w:tc>
          <w:tcPr>
            <w:tcW w:type="dxa" w:w="4320"/>
          </w:tcPr>
          <w:p>
            <w:r>
              <w:t>Approval authority: Credit Committee</w:t>
            </w:r>
          </w:p>
        </w:tc>
      </w:tr>
      <w:tr>
        <w:tc>
          <w:tcPr>
            <w:tcW w:type="dxa" w:w="4320"/>
          </w:tcPr>
          <w:p>
            <w:r>
              <w:t>Approval date: 2025-11-18</w:t>
            </w:r>
          </w:p>
        </w:tc>
        <w:tc>
          <w:tcPr>
            <w:tcW w:type="dxa" w:w="4320"/>
          </w:tcPr>
          <w:p>
            <w:r>
              <w:t>Facility expiry: 2026-11-30</w:t>
            </w:r>
          </w:p>
        </w:tc>
      </w:tr>
      <w:tr>
        <w:tc>
          <w:tcPr>
            <w:tcW w:type="dxa" w:w="4320"/>
          </w:tcPr>
          <w:p>
            <w:r>
              <w:t>Relationship manager: Omar Al Qahtani</w:t>
            </w:r>
          </w:p>
        </w:tc>
        <w:tc>
          <w:tcPr>
            <w:tcW w:type="dxa" w:w="4320"/>
          </w:tcPr>
          <w:p>
            <w:r>
              <w:t>Certificate reference: SGB/CBG/CR/2026/1143</w:t>
            </w:r>
          </w:p>
        </w:tc>
      </w:tr>
      <w:tr>
        <w:tc>
          <w:tcPr>
            <w:tcW w:type="dxa" w:w="4320"/>
          </w:tcPr>
          <w:p>
            <w:r>
              <w:t>Prepared by: Huda Al Mutairi, Credit Administration</w:t>
            </w:r>
          </w:p>
        </w:tc>
        <w:tc>
          <w:tcPr>
            <w:tcW w:type="dxa" w:w="4320"/>
          </w:tcPr>
          <w:p>
            <w:r>
              <w:t>Date: 2026-10-14</w:t>
            </w:r>
          </w:p>
        </w:tc>
      </w:tr>
    </w:tbl>
    <w:p>
      <w:pPr>
        <w:spacing w:after="40"/>
      </w:pPr>
    </w:p>
    <w:p>
      <w:pPr>
        <w:spacing w:after="40"/>
      </w:pPr>
      <w:r>
        <w:rPr>
          <w:b/>
        </w:rPr>
        <w:t>1. APPROVED FACILITIES (EXTRACT FROM APPROVAL SGB/CBG/CR/2025/0872)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Facility</w:t>
            </w:r>
          </w:p>
        </w:tc>
        <w:tc>
          <w:tcPr>
            <w:tcW w:type="dxa" w:w="1728"/>
          </w:tcPr>
          <w:p>
            <w:r>
              <w:t>Limit (SAR)</w:t>
            </w:r>
          </w:p>
        </w:tc>
        <w:tc>
          <w:tcPr>
            <w:tcW w:type="dxa" w:w="1728"/>
          </w:tcPr>
          <w:p>
            <w:r>
              <w:t>Tenor / expiry</w:t>
            </w:r>
          </w:p>
        </w:tc>
        <w:tc>
          <w:tcPr>
            <w:tcW w:type="dxa" w:w="1728"/>
          </w:tcPr>
          <w:p>
            <w:r>
              <w:t>Purpose</w:t>
            </w:r>
          </w:p>
        </w:tc>
        <w:tc>
          <w:tcPr>
            <w:tcW w:type="dxa" w:w="1728"/>
          </w:tcPr>
          <w:p>
            <w:r>
              <w:t>Pricing</w:t>
            </w:r>
          </w:p>
        </w:tc>
      </w:tr>
      <w:tr>
        <w:tc>
          <w:tcPr>
            <w:tcW w:type="dxa" w:w="1728"/>
          </w:tcPr>
          <w:p>
            <w:r>
              <w:t>Murabaha short-term financing (STF)</w:t>
            </w:r>
          </w:p>
        </w:tc>
        <w:tc>
          <w:tcPr>
            <w:tcW w:type="dxa" w:w="1728"/>
          </w:tcPr>
          <w:p>
            <w:r>
              <w:t>30,000,000</w:t>
            </w:r>
          </w:p>
        </w:tc>
        <w:tc>
          <w:tcPr>
            <w:tcW w:type="dxa" w:w="1728"/>
          </w:tcPr>
          <w:p>
            <w:r>
              <w:t>12 months / 2026-11-30</w:t>
            </w:r>
          </w:p>
        </w:tc>
        <w:tc>
          <w:tcPr>
            <w:tcW w:type="dxa" w:w="1728"/>
          </w:tcPr>
          <w:p>
            <w:r>
              <w:t>Working capital; tranches up to 180 days</w:t>
            </w:r>
          </w:p>
        </w:tc>
        <w:tc>
          <w:tcPr>
            <w:tcW w:type="dxa" w:w="1728"/>
          </w:tcPr>
          <w:p>
            <w:r>
              <w:t>SAIBOR + 2.25% p.a.</w:t>
            </w:r>
          </w:p>
        </w:tc>
      </w:tr>
      <w:tr>
        <w:tc>
          <w:tcPr>
            <w:tcW w:type="dxa" w:w="1728"/>
          </w:tcPr>
          <w:p>
            <w:r>
              <w:t>Letters of guarantee (LG)</w:t>
            </w:r>
          </w:p>
        </w:tc>
        <w:tc>
          <w:tcPr>
            <w:tcW w:type="dxa" w:w="1728"/>
          </w:tcPr>
          <w:p>
            <w:r>
              <w:t>15,000,000</w:t>
            </w:r>
          </w:p>
        </w:tc>
        <w:tc>
          <w:tcPr>
            <w:tcW w:type="dxa" w:w="1728"/>
          </w:tcPr>
          <w:p>
            <w:r>
              <w:t>12 months / 2026-11-30</w:t>
            </w:r>
          </w:p>
        </w:tc>
        <w:tc>
          <w:tcPr>
            <w:tcW w:type="dxa" w:w="1728"/>
          </w:tcPr>
          <w:p>
            <w:r>
              <w:t>Bid, performance and advance payment guarantees; max LG tenor 24 months</w:t>
            </w:r>
          </w:p>
        </w:tc>
        <w:tc>
          <w:tcPr>
            <w:tcW w:type="dxa" w:w="1728"/>
          </w:tcPr>
          <w:p>
            <w:r>
              <w:t>1.0% p.a. commission, quarterly in advance</w:t>
            </w:r>
          </w:p>
        </w:tc>
      </w:tr>
      <w:tr>
        <w:tc>
          <w:tcPr>
            <w:tcW w:type="dxa" w:w="1728"/>
          </w:tcPr>
          <w:p>
            <w:r>
              <w:t>Total</w:t>
            </w:r>
          </w:p>
        </w:tc>
        <w:tc>
          <w:tcPr>
            <w:tcW w:type="dxa" w:w="1728"/>
          </w:tcPr>
          <w:p>
            <w:r>
              <w:t>45,000,000</w:t>
            </w:r>
          </w:p>
        </w:tc>
        <w:tc>
          <w:tcPr>
            <w:tcW w:type="dxa" w:w="1728"/>
          </w:tcPr>
          <w:p>
            <w:r/>
          </w:p>
        </w:tc>
        <w:tc>
          <w:tcPr>
            <w:tcW w:type="dxa" w:w="1728"/>
          </w:tcPr>
          <w:p>
            <w:r>
              <w:t>|</w:t>
            </w:r>
          </w:p>
        </w:tc>
        <w:tc>
          <w:tcPr>
            <w:tcW w:type="dxa" w:w="1728"/>
          </w:tcPr>
          <w:p>
            <w:r/>
          </w:p>
        </w:tc>
      </w:tr>
    </w:tbl>
    <w:p>
      <w:pPr>
        <w:spacing w:after="40"/>
      </w:pPr>
    </w:p>
    <w:p>
      <w:pPr>
        <w:spacing w:after="40"/>
      </w:pPr>
      <w:r>
        <w:rPr>
          <w:b/>
        </w:rPr>
        <w:t>2.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Security approved</w:t>
            </w:r>
          </w:p>
        </w:tc>
        <w:tc>
          <w:tcPr>
            <w:tcW w:type="dxa" w:w="2880"/>
          </w:tcPr>
          <w:p>
            <w:r>
              <w:t>Status on file</w:t>
            </w:r>
          </w:p>
        </w:tc>
      </w:tr>
      <w:tr>
        <w:tc>
          <w:tcPr>
            <w:tcW w:type="dxa" w:w="2880"/>
          </w:tcPr>
          <w:p>
            <w:r>
              <w:t>1</w:t>
            </w:r>
          </w:p>
        </w:tc>
        <w:tc>
          <w:tcPr>
            <w:tcW w:type="dxa" w:w="2880"/>
          </w:tcPr>
          <w:p>
            <w:r>
              <w:t>Assignment of North Ring contract proceeds (North Ring Road Package 3), proceeds payable to the current account with the Bank</w:t>
            </w:r>
          </w:p>
        </w:tc>
        <w:tc>
          <w:tcPr>
            <w:tcW w:type="dxa" w:w="2880"/>
          </w:tcPr>
          <w:p>
            <w:r>
              <w:t>Perfected; notice acknowledged by main contractor</w:t>
            </w:r>
          </w:p>
        </w:tc>
      </w:tr>
      <w:tr>
        <w:tc>
          <w:tcPr>
            <w:tcW w:type="dxa" w:w="2880"/>
          </w:tcPr>
          <w:p>
            <w:r>
              <w:t>2</w:t>
            </w:r>
          </w:p>
        </w:tc>
        <w:tc>
          <w:tcPr>
            <w:tcW w:type="dxa" w:w="2880"/>
          </w:tcPr>
          <w:p>
            <w:r>
              <w:t>Personal guarantee of Khalid Saad Al Harbi (Chairman &amp; General Manager)</w:t>
            </w:r>
          </w:p>
        </w:tc>
        <w:tc>
          <w:tcPr>
            <w:tcW w:type="dxa" w:w="2880"/>
          </w:tcPr>
          <w:p>
            <w:r>
              <w:t>Executed; held in vault</w:t>
            </w:r>
          </w:p>
        </w:tc>
      </w:tr>
    </w:tbl>
    <w:p>
      <w:pPr>
        <w:spacing w:after="40"/>
      </w:pPr>
    </w:p>
    <w:p>
      <w:pPr>
        <w:spacing w:after="40"/>
      </w:pPr>
      <w:r>
        <w:rPr>
          <w:b/>
        </w:rPr>
        <w:t>3. PRICING AND FEES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Approved terms</w:t>
            </w:r>
          </w:p>
        </w:tc>
      </w:tr>
      <w:tr>
        <w:tc>
          <w:tcPr>
            <w:tcW w:type="dxa" w:w="4320"/>
          </w:tcPr>
          <w:p>
            <w:r>
              <w:t>Murabaha STF profit rate</w:t>
            </w:r>
          </w:p>
        </w:tc>
        <w:tc>
          <w:tcPr>
            <w:tcW w:type="dxa" w:w="4320"/>
          </w:tcPr>
          <w:p>
            <w:r>
              <w:t>SAIBOR + 2.25% p.a. (3-month SAIBOR, reset per tranche)</w:t>
            </w:r>
          </w:p>
        </w:tc>
      </w:tr>
      <w:tr>
        <w:tc>
          <w:tcPr>
            <w:tcW w:type="dxa" w:w="4320"/>
          </w:tcPr>
          <w:p>
            <w:r>
              <w:t>LG commission</w:t>
            </w:r>
          </w:p>
        </w:tc>
        <w:tc>
          <w:tcPr>
            <w:tcW w:type="dxa" w:w="4320"/>
          </w:tcPr>
          <w:p>
            <w:r>
              <w:t>1.0% p.a. on LG amount, minimum SAR 1,000 per guarantee</w:t>
            </w:r>
          </w:p>
        </w:tc>
      </w:tr>
      <w:tr>
        <w:tc>
          <w:tcPr>
            <w:tcW w:type="dxa" w:w="4320"/>
          </w:tcPr>
          <w:p>
            <w:r>
              <w:t>Arrangement / renewal fee</w:t>
            </w:r>
          </w:p>
        </w:tc>
        <w:tc>
          <w:tcPr>
            <w:tcW w:type="dxa" w:w="4320"/>
          </w:tcPr>
          <w:p>
            <w:r>
              <w:t>SAR 45,000 flat (collected 2025-11-25)</w:t>
            </w:r>
          </w:p>
        </w:tc>
      </w:tr>
      <w:tr>
        <w:tc>
          <w:tcPr>
            <w:tcW w:type="dxa" w:w="4320"/>
          </w:tcPr>
          <w:p>
            <w:r>
              <w:t>Late payment</w:t>
            </w:r>
          </w:p>
        </w:tc>
        <w:tc>
          <w:tcPr>
            <w:tcW w:type="dxa" w:w="4320"/>
          </w:tcPr>
          <w:p>
            <w:r>
              <w:t>Charity donation per Sharia Board guidelines</w:t>
            </w:r>
          </w:p>
        </w:tc>
      </w:tr>
    </w:tbl>
    <w:p>
      <w:pPr>
        <w:spacing w:after="40"/>
      </w:pPr>
    </w:p>
    <w:p>
      <w:pPr>
        <w:spacing w:after="40"/>
      </w:pPr>
      <w:r>
        <w:rPr>
          <w:b/>
        </w:rPr>
        <w:t>4. CONDITIONS OF APPROVAL</w:t>
      </w:r>
    </w:p>
    <w:p>
      <w:pPr>
        <w:spacing w:after="40"/>
      </w:pPr>
      <w:r>
        <w:t>4.1  Financial covenants tested annually on audited accounts: Debt / Equity not to exceed 1.75x; DSCR not below 1.25x; tangible net worth not below SAR 35.0m.</w:t>
      </w:r>
    </w:p>
    <w:p>
      <w:pPr>
        <w:spacing w:after="40"/>
      </w:pPr>
      <w:r>
        <w:t>4.2  Dividend distributions capped at 30% of net profit for the financial year.</w:t>
      </w:r>
    </w:p>
    <w:p>
      <w:pPr>
        <w:spacing w:after="40"/>
      </w:pPr>
      <w:r>
        <w:t>4.3  Quarterly receivables ageing to be submitted within 30 days of quarter-end.</w:t>
      </w:r>
    </w:p>
    <w:p>
      <w:pPr>
        <w:spacing w:after="40"/>
      </w:pPr>
      <w:r>
        <w:t>4.4  Valid Zakat certificate to be maintained on file at all times.</w:t>
      </w:r>
    </w:p>
    <w:p>
      <w:pPr>
        <w:spacing w:after="40"/>
      </w:pPr>
      <w:r>
        <w:t>4.5  Audited financial statements to be submitted within 120 days of financial year-end.</w:t>
      </w:r>
    </w:p>
    <w:p>
      <w:pPr>
        <w:spacing w:after="40"/>
      </w:pPr>
      <w:r>
        <w:t>4.6  Contract proceeds of the North Ring project to be routed through the current account with the Bank.</w:t>
      </w:r>
    </w:p>
    <w:p>
      <w:pPr>
        <w:spacing w:after="40"/>
      </w:pPr>
    </w:p>
    <w:p>
      <w:pPr>
        <w:spacing w:after="40"/>
      </w:pPr>
      <w:r>
        <w:rPr>
          <w:b/>
        </w:rPr>
        <w:t>5. COVENANT COMPLIANCE (AS AT 2026-10-14)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Covenant</w:t>
            </w:r>
          </w:p>
        </w:tc>
        <w:tc>
          <w:tcPr>
            <w:tcW w:type="dxa" w:w="1728"/>
          </w:tcPr>
          <w:p>
            <w:r>
              <w:t>Threshold</w:t>
            </w:r>
          </w:p>
        </w:tc>
        <w:tc>
          <w:tcPr>
            <w:tcW w:type="dxa" w:w="1728"/>
          </w:tcPr>
          <w:p>
            <w:r>
              <w:t>Test date / basis</w:t>
            </w:r>
          </w:p>
        </w:tc>
        <w:tc>
          <w:tcPr>
            <w:tcW w:type="dxa" w:w="1728"/>
          </w:tcPr>
          <w:p>
            <w:r>
              <w:t>Actual</w:t>
            </w:r>
          </w:p>
        </w:tc>
        <w:tc>
          <w:tcPr>
            <w:tcW w:type="dxa" w:w="1728"/>
          </w:tcPr>
          <w:p>
            <w:r>
              <w:t>Status</w:t>
            </w:r>
          </w:p>
        </w:tc>
      </w:tr>
      <w:tr>
        <w:tc>
          <w:tcPr>
            <w:tcW w:type="dxa" w:w="1728"/>
          </w:tcPr>
          <w:p>
            <w:r>
              <w:t>Debt / Equity</w:t>
            </w:r>
          </w:p>
        </w:tc>
        <w:tc>
          <w:tcPr>
            <w:tcW w:type="dxa" w:w="1728"/>
          </w:tcPr>
          <w:p>
            <w:r>
              <w:t>≤ 1.75x</w:t>
            </w:r>
          </w:p>
        </w:tc>
        <w:tc>
          <w:tcPr>
            <w:tcW w:type="dxa" w:w="1728"/>
          </w:tcPr>
          <w:p>
            <w:r>
              <w:t>FY2025 audited (31-Dec-2025)</w:t>
            </w:r>
          </w:p>
        </w:tc>
        <w:tc>
          <w:tcPr>
            <w:tcW w:type="dxa" w:w="1728"/>
          </w:tcPr>
          <w:p>
            <w:r>
              <w:t>1.84x</w:t>
            </w:r>
          </w:p>
        </w:tc>
        <w:tc>
          <w:tcPr>
            <w:tcW w:type="dxa" w:w="1728"/>
          </w:tcPr>
          <w:p>
            <w:r>
              <w:t>BREACH</w:t>
            </w:r>
          </w:p>
        </w:tc>
      </w:tr>
      <w:tr>
        <w:tc>
          <w:tcPr>
            <w:tcW w:type="dxa" w:w="1728"/>
          </w:tcPr>
          <w:p>
            <w:r>
              <w:t>Debt service coverage ratio (DSCR)</w:t>
            </w:r>
          </w:p>
        </w:tc>
        <w:tc>
          <w:tcPr>
            <w:tcW w:type="dxa" w:w="1728"/>
          </w:tcPr>
          <w:p>
            <w:r>
              <w:t>≥ 1.25x</w:t>
            </w:r>
          </w:p>
        </w:tc>
        <w:tc>
          <w:tcPr>
            <w:tcW w:type="dxa" w:w="1728"/>
          </w:tcPr>
          <w:p>
            <w:r>
              <w:t>FY2025 audited (31-Dec-2025)</w:t>
            </w:r>
          </w:p>
        </w:tc>
        <w:tc>
          <w:tcPr>
            <w:tcW w:type="dxa" w:w="1728"/>
          </w:tcPr>
          <w:p>
            <w:r>
              <w:t>1.18x</w:t>
            </w:r>
          </w:p>
        </w:tc>
        <w:tc>
          <w:tcPr>
            <w:tcW w:type="dxa" w:w="1728"/>
          </w:tcPr>
          <w:p>
            <w:r>
              <w:t>BREACH</w:t>
            </w:r>
          </w:p>
        </w:tc>
      </w:tr>
      <w:tr>
        <w:tc>
          <w:tcPr>
            <w:tcW w:type="dxa" w:w="1728"/>
          </w:tcPr>
          <w:p>
            <w:r>
              <w:t>Tangible net worth</w:t>
            </w:r>
          </w:p>
        </w:tc>
        <w:tc>
          <w:tcPr>
            <w:tcW w:type="dxa" w:w="1728"/>
          </w:tcPr>
          <w:p>
            <w:r>
              <w:t>≥ SAR 35.0m</w:t>
            </w:r>
          </w:p>
        </w:tc>
        <w:tc>
          <w:tcPr>
            <w:tcW w:type="dxa" w:w="1728"/>
          </w:tcPr>
          <w:p>
            <w:r>
              <w:t>FY2025 audited (31-Dec-2025)</w:t>
            </w:r>
          </w:p>
        </w:tc>
        <w:tc>
          <w:tcPr>
            <w:tcW w:type="dxa" w:w="1728"/>
          </w:tcPr>
          <w:p>
            <w:r>
              <w:t>SAR 41.1m</w:t>
            </w:r>
          </w:p>
        </w:tc>
        <w:tc>
          <w:tcPr>
            <w:tcW w:type="dxa" w:w="1728"/>
          </w:tcPr>
          <w:p>
            <w:r>
              <w:t>Met</w:t>
            </w:r>
          </w:p>
        </w:tc>
      </w:tr>
      <w:tr>
        <w:tc>
          <w:tcPr>
            <w:tcW w:type="dxa" w:w="1728"/>
          </w:tcPr>
          <w:p>
            <w:r>
              <w:t>Dividend cap</w:t>
            </w:r>
          </w:p>
        </w:tc>
        <w:tc>
          <w:tcPr>
            <w:tcW w:type="dxa" w:w="1728"/>
          </w:tcPr>
          <w:p>
            <w:r>
              <w:t>≤ 30% of net profit</w:t>
            </w:r>
          </w:p>
        </w:tc>
        <w:tc>
          <w:tcPr>
            <w:tcW w:type="dxa" w:w="1728"/>
          </w:tcPr>
          <w:p>
            <w:r>
              <w:t>FY2025 dividend</w:t>
            </w:r>
          </w:p>
        </w:tc>
        <w:tc>
          <w:tcPr>
            <w:tcW w:type="dxa" w:w="1728"/>
          </w:tcPr>
          <w:p>
            <w:r>
              <w:t>SAR 3.0m = 27%</w:t>
            </w:r>
          </w:p>
        </w:tc>
        <w:tc>
          <w:tcPr>
            <w:tcW w:type="dxa" w:w="1728"/>
          </w:tcPr>
          <w:p>
            <w:r>
              <w:t>Met</w:t>
            </w:r>
          </w:p>
        </w:tc>
      </w:tr>
      <w:tr>
        <w:tc>
          <w:tcPr>
            <w:tcW w:type="dxa" w:w="1728"/>
          </w:tcPr>
          <w:p>
            <w:r>
              <w:t>Quarterly receivables ageing</w:t>
            </w:r>
          </w:p>
        </w:tc>
        <w:tc>
          <w:tcPr>
            <w:tcW w:type="dxa" w:w="1728"/>
          </w:tcPr>
          <w:p>
            <w:r>
              <w:t>Within 30 days of quarter-end</w:t>
            </w:r>
          </w:p>
        </w:tc>
        <w:tc>
          <w:tcPr>
            <w:tcW w:type="dxa" w:w="1728"/>
          </w:tcPr>
          <w:p>
            <w:r>
              <w:t>Q2 2026 submitted; Q3 2026 due 2026-10-30</w:t>
            </w:r>
          </w:p>
        </w:tc>
        <w:tc>
          <w:tcPr>
            <w:tcW w:type="dxa" w:w="1728"/>
          </w:tcPr>
          <w:p>
            <w:r>
              <w:t>Q3 2026 not received</w:t>
            </w:r>
          </w:p>
        </w:tc>
        <w:tc>
          <w:tcPr>
            <w:tcW w:type="dxa" w:w="1728"/>
          </w:tcPr>
          <w:p>
            <w:r>
              <w:t>Outstanding</w:t>
            </w:r>
          </w:p>
        </w:tc>
      </w:tr>
      <w:tr>
        <w:tc>
          <w:tcPr>
            <w:tcW w:type="dxa" w:w="1728"/>
          </w:tcPr>
          <w:p>
            <w:r>
              <w:t>Valid Zakat certificate on file</w:t>
            </w:r>
          </w:p>
        </w:tc>
        <w:tc>
          <w:tcPr>
            <w:tcW w:type="dxa" w:w="1728"/>
          </w:tcPr>
          <w:p>
            <w:r>
              <w:t>Valid at all times</w:t>
            </w:r>
          </w:p>
        </w:tc>
        <w:tc>
          <w:tcPr>
            <w:tcW w:type="dxa" w:w="1728"/>
          </w:tcPr>
          <w:p>
            <w:r>
              <w:t>Certificate expired 2026-04-30</w:t>
            </w:r>
          </w:p>
        </w:tc>
        <w:tc>
          <w:tcPr>
            <w:tcW w:type="dxa" w:w="1728"/>
          </w:tcPr>
          <w:p>
            <w:r>
              <w:t>Renewal not received</w:t>
            </w:r>
          </w:p>
        </w:tc>
        <w:tc>
          <w:tcPr>
            <w:tcW w:type="dxa" w:w="1728"/>
          </w:tcPr>
          <w:p>
            <w:r>
              <w:t>Outstanding</w:t>
            </w:r>
          </w:p>
        </w:tc>
      </w:tr>
    </w:tbl>
    <w:p>
      <w:pPr>
        <w:spacing w:after="40"/>
      </w:pPr>
    </w:p>
    <w:p>
      <w:pPr>
        <w:spacing w:after="40"/>
      </w:pPr>
      <w:r>
        <w:t>Waiver status: none requested. No waiver or amendment has been requested by the customer or tabled for the D/E and DSCR breaches.</w:t>
      </w:r>
    </w:p>
    <w:p>
      <w:pPr>
        <w:spacing w:after="40"/>
      </w:pPr>
      <w:r>
        <w:t>Basis: FY2025 audited financial statements (Al Rimal &amp; Partners, report dated 18 April 2026): total borrowings SAR 75,520,000; total equity SAR 41,078,805; no intangible assets; net profit SAR 11,066,365; dividends paid SAR 3,000,000.</w:t>
      </w:r>
    </w:p>
    <w:p>
      <w:pPr>
        <w:spacing w:after="40"/>
      </w:pPr>
    </w:p>
    <w:p>
      <w:pPr>
        <w:spacing w:after="40"/>
      </w:pPr>
      <w:r>
        <w:rPr>
          <w:b/>
        </w:rPr>
        <w:t>6. CREDIT ADMINISTRATION REMARKS</w:t>
      </w:r>
    </w:p>
    <w:p>
      <w:pPr>
        <w:spacing w:after="40"/>
      </w:pPr>
      <w:r>
        <w:t>Two financial covenants are in breach on the FY2025 test and two documentation conditions are outstanding. The renewal submission must address the breaches (waiver, reset or remedy) and obtain the Q3 2026 ageing and the renewed Zakat certificate before limits are re-activated beyond 2026-11-30.</w:t>
      </w:r>
    </w:p>
    <w:p>
      <w:pPr>
        <w:spacing w:after="40"/>
      </w:pPr>
    </w:p>
    <w:p>
      <w:pPr>
        <w:spacing w:after="40"/>
      </w:pPr>
      <w:r>
        <w:rPr>
          <w:b/>
        </w:rPr>
        <w:t>7.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Prepared by: Signature ________</w:t>
            </w:r>
          </w:p>
        </w:tc>
        <w:tc>
          <w:tcPr>
            <w:tcW w:type="dxa" w:w="2160"/>
          </w:tcPr>
          <w:p>
            <w:r>
              <w:t>Name: Huda Al Mutairi</w:t>
            </w:r>
          </w:p>
        </w:tc>
        <w:tc>
          <w:tcPr>
            <w:tcW w:type="dxa" w:w="2160"/>
          </w:tcPr>
          <w:p>
            <w:r>
              <w:t>Credit Administration Officer</w:t>
            </w:r>
          </w:p>
        </w:tc>
        <w:tc>
          <w:tcPr>
            <w:tcW w:type="dxa" w:w="2160"/>
          </w:tcPr>
          <w:p>
            <w:r>
              <w:t>Date: 2026-10-14</w:t>
            </w:r>
          </w:p>
        </w:tc>
      </w:tr>
      <w:tr>
        <w:tc>
          <w:tcPr>
            <w:tcW w:type="dxa" w:w="2160"/>
          </w:tcPr>
          <w:p>
            <w:r>
              <w:t>Checked by: Signature ________</w:t>
            </w:r>
          </w:p>
        </w:tc>
        <w:tc>
          <w:tcPr>
            <w:tcW w:type="dxa" w:w="2160"/>
          </w:tcPr>
          <w:p>
            <w:r>
              <w:t>Name: ________</w:t>
            </w:r>
          </w:p>
        </w:tc>
        <w:tc>
          <w:tcPr>
            <w:tcW w:type="dxa" w:w="2160"/>
          </w:tcPr>
          <w:p>
            <w:r>
              <w:t>Head of Credit Administration</w:t>
            </w:r>
          </w:p>
        </w:tc>
        <w:tc>
          <w:tcPr>
            <w:tcW w:type="dxa" w:w="2160"/>
          </w:tcPr>
          <w:p>
            <w:r>
              <w:t>Date: ________</w:t>
            </w:r>
          </w:p>
        </w:tc>
      </w:tr>
      <w:tr>
        <w:tc>
          <w:tcPr>
            <w:tcW w:type="dxa" w:w="2160"/>
          </w:tcPr>
          <w:p>
            <w:r>
              <w:t>Acknowledged by: Signature ________</w:t>
            </w:r>
          </w:p>
        </w:tc>
        <w:tc>
          <w:tcPr>
            <w:tcW w:type="dxa" w:w="2160"/>
          </w:tcPr>
          <w:p>
            <w:r>
              <w:t>Name: Omar Al Qahtani</w:t>
            </w:r>
          </w:p>
        </w:tc>
        <w:tc>
          <w:tcPr>
            <w:tcW w:type="dxa" w:w="2160"/>
          </w:tcPr>
          <w:p>
            <w:r>
              <w:t>Relationship Manager</w:t>
            </w:r>
          </w:p>
        </w:tc>
        <w:tc>
          <w:tcPr>
            <w:tcW w:type="dxa" w:w="2160"/>
          </w:tcPr>
          <w:p>
            <w:r>
              <w:t>Date: ________</w:t>
            </w:r>
          </w:p>
        </w:tc>
      </w:tr>
    </w:tbl>
    <w:p>
      <w:pPr>
        <w:spacing w:after="40"/>
      </w:pPr>
    </w:p>
    <w:p>
      <w:pPr>
        <w:spacing w:after="40"/>
      </w:pPr>
      <w:r>
        <w:t>Footer: Ref SGB/CBG/CR/2026/1143 · CIF 40012876 · Generated from SGB Credit Administration System (CAS) by huda.almutairi, 2026-10-14 11:06 AST · Sahara Gulf Bank — Internal / Confidential · Page X of 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