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Pr>
          <w:p>
            <w:r>
              <w:t>SAHARA GULF BANK — Corporate Banking Group — Central Region</w:t>
            </w:r>
          </w:p>
        </w:tc>
        <w:tc>
          <w:tcPr>
            <w:tcW w:type="dxa" w:w="4320"/>
          </w:tcPr>
          <w:p>
            <w:r>
              <w:t>Olaya Corporate Centre, Riyadh</w:t>
            </w:r>
          </w:p>
        </w:tc>
      </w:tr>
      <w:tr>
        <w:tc>
          <w:tcPr>
            <w:tcW w:type="dxa" w:w="4320"/>
          </w:tcPr>
          <w:p>
            <w:r>
              <w:t>Internal / Confidential</w:t>
            </w:r>
          </w:p>
        </w:tc>
        <w:tc>
          <w:tcPr>
            <w:tcW w:type="dxa" w:w="4320"/>
          </w:tcPr>
          <w:p>
            <w:r>
              <w:t>Form CBG-RM-04 (rev. 01/2025)</w:t>
            </w:r>
          </w:p>
        </w:tc>
      </w:tr>
    </w:tbl>
    <w:p>
      <w:pPr>
        <w:spacing w:after="40"/>
      </w:pPr>
    </w:p>
    <w:p>
      <w:pPr>
        <w:spacing w:after="40"/>
      </w:pPr>
      <w:r>
        <w:rPr>
          <w:b/>
        </w:rPr>
        <w:t>CUSTOMER SITE VISIT REPORT</w:t>
      </w:r>
    </w:p>
    <w:p>
      <w:pPr>
        <w:spacing w:after="40"/>
      </w:pPr>
    </w:p>
    <w:tbl>
      <w:tblPr>
        <w:tblStyle w:val="TableGrid"/>
        <w:tblW w:type="auto" w:w="0"/>
        <w:tblLook w:firstColumn="1" w:firstRow="1" w:lastColumn="0" w:lastRow="0" w:noHBand="0" w:noVBand="1" w:val="04A0"/>
      </w:tblPr>
      <w:tblGrid>
        <w:gridCol w:w="4320"/>
        <w:gridCol w:w="4320"/>
      </w:tblGrid>
      <w:tr>
        <w:tc>
          <w:tcPr>
            <w:tcW w:type="dxa" w:w="4320"/>
          </w:tcPr>
          <w:p>
            <w:r>
              <w:t>Report reference: SGB/CBG/SV/2026/0419</w:t>
            </w:r>
          </w:p>
        </w:tc>
        <w:tc>
          <w:tcPr>
            <w:tcW w:type="dxa" w:w="4320"/>
          </w:tcPr>
          <w:p>
            <w:r>
              <w:t>Visit date: 08 October 2026</w:t>
            </w:r>
          </w:p>
        </w:tc>
      </w:tr>
      <w:tr>
        <w:tc>
          <w:tcPr>
            <w:tcW w:type="dxa" w:w="4320"/>
          </w:tcPr>
          <w:p>
            <w:r>
              <w:t>Customer: Saqr Al Wadi Contracting Co.</w:t>
            </w:r>
          </w:p>
        </w:tc>
        <w:tc>
          <w:tcPr>
            <w:tcW w:type="dxa" w:w="4320"/>
          </w:tcPr>
          <w:p>
            <w:r>
              <w:t>CIF: 40012876</w:t>
            </w:r>
          </w:p>
        </w:tc>
      </w:tr>
      <w:tr>
        <w:tc>
          <w:tcPr>
            <w:tcW w:type="dxa" w:w="4320"/>
          </w:tcPr>
          <w:p>
            <w:r>
              <w:t>CR number: 1010487223</w:t>
            </w:r>
          </w:p>
        </w:tc>
        <w:tc>
          <w:tcPr>
            <w:tcW w:type="dxa" w:w="4320"/>
          </w:tcPr>
          <w:p>
            <w:r>
              <w:t>Segment / branch: Mid-Corporate, Contracting / Riyadh Olaya</w:t>
            </w:r>
          </w:p>
        </w:tc>
      </w:tr>
      <w:tr>
        <w:tc>
          <w:tcPr>
            <w:tcW w:type="dxa" w:w="4320"/>
          </w:tcPr>
          <w:p>
            <w:r>
              <w:t>Visited by: Omar Al Qahtani, Relationship Manager</w:t>
            </w:r>
          </w:p>
        </w:tc>
        <w:tc>
          <w:tcPr>
            <w:tcW w:type="dxa" w:w="4320"/>
          </w:tcPr>
          <w:p>
            <w:r>
              <w:t>Accompanied by: Rakan Al Dosari, Credit Analyst (Business)</w:t>
            </w:r>
          </w:p>
        </w:tc>
      </w:tr>
      <w:tr>
        <w:tc>
          <w:tcPr>
            <w:tcW w:type="dxa" w:w="4320"/>
          </w:tcPr>
          <w:p>
            <w:r>
              <w:t>Purpose of visit: Annual review and new facility request</w:t>
            </w:r>
          </w:p>
        </w:tc>
        <w:tc>
          <w:tcPr>
            <w:tcW w:type="dxa" w:w="4320"/>
          </w:tcPr>
          <w:p>
            <w:r>
              <w:t>Type of visit: Scheduled (customer notified 05 Oct 2026)</w:t>
            </w:r>
          </w:p>
        </w:tc>
      </w:tr>
      <w:tr>
        <w:tc>
          <w:tcPr>
            <w:tcW w:type="dxa" w:w="4320"/>
          </w:tcPr>
          <w:p>
            <w:r>
              <w:t>Customer since: June 2019</w:t>
            </w:r>
          </w:p>
        </w:tc>
        <w:tc>
          <w:tcPr>
            <w:tcW w:type="dxa" w:w="4320"/>
          </w:tcPr>
          <w:p>
            <w:r>
              <w:t>Last visit: October 2025 (annual review)</w:t>
            </w:r>
          </w:p>
        </w:tc>
      </w:tr>
    </w:tbl>
    <w:p>
      <w:pPr>
        <w:spacing w:after="40"/>
      </w:pPr>
    </w:p>
    <w:p>
      <w:pPr>
        <w:spacing w:after="40"/>
      </w:pPr>
      <w:r>
        <w:t>1. Sites visited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Site / location</w:t>
            </w:r>
          </w:p>
        </w:tc>
        <w:tc>
          <w:tcPr>
            <w:tcW w:type="dxa" w:w="2160"/>
          </w:tcPr>
          <w:p>
            <w:r>
              <w:t>Time</w:t>
            </w:r>
          </w:p>
        </w:tc>
        <w:tc>
          <w:tcPr>
            <w:tcW w:type="dxa" w:w="2160"/>
          </w:tcPr>
          <w:p>
            <w:r>
              <w:t>Persons met</w:t>
            </w:r>
          </w:p>
        </w:tc>
        <w:tc>
          <w:tcPr>
            <w:tcW w:type="dxa" w:w="2160"/>
          </w:tcPr>
          <w:p>
            <w:r>
              <w:t>Key observations</w:t>
            </w:r>
          </w:p>
        </w:tc>
      </w:tr>
      <w:tr>
        <w:tc>
          <w:tcPr>
            <w:tcW w:type="dxa" w:w="2160"/>
          </w:tcPr>
          <w:p>
            <w:r>
              <w:t>Head office — Building 7421, King Fahd Road, Al Olaya, Riyadh</w:t>
            </w:r>
          </w:p>
        </w:tc>
        <w:tc>
          <w:tcPr>
            <w:tcW w:type="dxa" w:w="2160"/>
          </w:tcPr>
          <w:p>
            <w:r>
              <w:t>09:30–11:15</w:t>
            </w:r>
          </w:p>
        </w:tc>
        <w:tc>
          <w:tcPr>
            <w:tcW w:type="dxa" w:w="2160"/>
          </w:tcPr>
          <w:p>
            <w:r>
              <w:t>Khalid Saad Al Harbi; Faisal Saad Al Harbi; Sameer Haddad (CFO)</w:t>
            </w:r>
          </w:p>
        </w:tc>
        <w:tc>
          <w:tcPr>
            <w:tcW w:type="dxa" w:w="2160"/>
          </w:tcPr>
          <w:p>
            <w:r>
              <w:t>Management meeting. Office active and orderly; finance, tendering and HR teams in place. Discussed H1 2026 results, receivables, Al Qirawan award and facility request.</w:t>
            </w:r>
          </w:p>
        </w:tc>
      </w:tr>
      <w:tr>
        <w:tc>
          <w:tcPr>
            <w:tcW w:type="dxa" w:w="2160"/>
          </w:tcPr>
          <w:p>
            <w:r>
              <w:t>North Ring civil works site — North Ring Road, Riyadh (client: Qirawan Rail JV)</w:t>
            </w:r>
          </w:p>
        </w:tc>
        <w:tc>
          <w:tcPr>
            <w:tcW w:type="dxa" w:w="2160"/>
          </w:tcPr>
          <w:p>
            <w:r>
              <w:t>12:00–13:45</w:t>
            </w:r>
          </w:p>
        </w:tc>
        <w:tc>
          <w:tcPr>
            <w:tcW w:type="dxa" w:w="2160"/>
          </w:tcPr>
          <w:p>
            <w:r>
              <w:t>Faisal Saad Al Harbi; company project manager; main contractor's site engineer</w:t>
            </w:r>
          </w:p>
        </w:tc>
        <w:tc>
          <w:tcPr>
            <w:tcW w:type="dxa" w:w="2160"/>
          </w:tcPr>
          <w:p>
            <w:r>
              <w:t>About 380 workers on site. Earthworks and structures progressing; progress consistent with reported 71% completion. Main contractor's site engineer confirmed IPC 14 certified in September.</w:t>
            </w:r>
          </w:p>
        </w:tc>
      </w:tr>
      <w:tr>
        <w:tc>
          <w:tcPr>
            <w:tcW w:type="dxa" w:w="2160"/>
          </w:tcPr>
          <w:p>
            <w:r>
              <w:t>Equipment yard — Al Sulay industrial area, Riyadh</w:t>
            </w:r>
          </w:p>
        </w:tc>
        <w:tc>
          <w:tcPr>
            <w:tcW w:type="dxa" w:w="2160"/>
          </w:tcPr>
          <w:p>
            <w:r>
              <w:t>14:30–15:30</w:t>
            </w:r>
          </w:p>
        </w:tc>
        <w:tc>
          <w:tcPr>
            <w:tcW w:type="dxa" w:w="2160"/>
          </w:tcPr>
          <w:p>
            <w:r>
              <w:t>Plant and equipment supervisor</w:t>
            </w:r>
          </w:p>
        </w:tc>
        <w:tc>
          <w:tcPr>
            <w:tcW w:type="dxa" w:w="2160"/>
          </w:tcPr>
          <w:p>
            <w:r>
              <w:t>46 heavy units seen, owned fleet, insured. Units in working condition; maintenance workshop on site.</w:t>
            </w:r>
          </w:p>
        </w:tc>
      </w:tr>
    </w:tbl>
    <w:p>
      <w:pPr>
        <w:spacing w:after="40"/>
      </w:pPr>
    </w:p>
    <w:p>
      <w:pPr>
        <w:spacing w:after="40"/>
      </w:pPr>
      <w:r>
        <w:t>2. Management met</w:t>
      </w:r>
    </w:p>
    <w:tbl>
      <w:tblPr>
        <w:tblStyle w:val="TableGrid"/>
        <w:tblW w:type="auto" w:w="0"/>
        <w:tblLook w:firstColumn="1" w:firstRow="1" w:lastColumn="0" w:lastRow="0" w:noHBand="0" w:noVBand="1" w:val="04A0"/>
      </w:tblPr>
      <w:tblGrid>
        <w:gridCol w:w="2880"/>
        <w:gridCol w:w="2880"/>
        <w:gridCol w:w="2880"/>
      </w:tblGrid>
      <w:tr>
        <w:tc>
          <w:tcPr>
            <w:tcW w:type="dxa" w:w="2880"/>
          </w:tcPr>
          <w:p>
            <w:r>
              <w:t>Name</w:t>
            </w:r>
          </w:p>
        </w:tc>
        <w:tc>
          <w:tcPr>
            <w:tcW w:type="dxa" w:w="2880"/>
          </w:tcPr>
          <w:p>
            <w:r>
              <w:t>Position</w:t>
            </w:r>
          </w:p>
        </w:tc>
        <w:tc>
          <w:tcPr>
            <w:tcW w:type="dxa" w:w="2880"/>
          </w:tcPr>
          <w:p>
            <w:r>
              <w:t>Remarks</w:t>
            </w:r>
          </w:p>
        </w:tc>
      </w:tr>
      <w:tr>
        <w:tc>
          <w:tcPr>
            <w:tcW w:type="dxa" w:w="2880"/>
          </w:tcPr>
          <w:p>
            <w:r>
              <w:t>Khalid Saad Al Harbi</w:t>
            </w:r>
          </w:p>
        </w:tc>
        <w:tc>
          <w:tcPr>
            <w:tcW w:type="dxa" w:w="2880"/>
          </w:tcPr>
          <w:p>
            <w:r>
              <w:t>Chairman &amp; General Manager (60% shareholder)</w:t>
            </w:r>
          </w:p>
        </w:tc>
        <w:tc>
          <w:tcPr>
            <w:tcW w:type="dxa" w:w="2880"/>
          </w:tcPr>
          <w:p>
            <w:r>
              <w:t>Led the meeting; authorised signatory; proposed personal guarantor</w:t>
            </w:r>
          </w:p>
        </w:tc>
      </w:tr>
      <w:tr>
        <w:tc>
          <w:tcPr>
            <w:tcW w:type="dxa" w:w="2880"/>
          </w:tcPr>
          <w:p>
            <w:r>
              <w:t>Faisal Saad Al Harbi</w:t>
            </w:r>
          </w:p>
        </w:tc>
        <w:tc>
          <w:tcPr>
            <w:tcW w:type="dxa" w:w="2880"/>
          </w:tcPr>
          <w:p>
            <w:r>
              <w:t>Projects Director (25% shareholder)</w:t>
            </w:r>
          </w:p>
        </w:tc>
        <w:tc>
          <w:tcPr>
            <w:tcW w:type="dxa" w:w="2880"/>
          </w:tcPr>
          <w:p>
            <w:r>
              <w:t>Accompanied site visit; presented project progress and Al Qirawan mobilisation plan</w:t>
            </w:r>
          </w:p>
        </w:tc>
      </w:tr>
      <w:tr>
        <w:tc>
          <w:tcPr>
            <w:tcW w:type="dxa" w:w="2880"/>
          </w:tcPr>
          <w:p>
            <w:r>
              <w:t>Sameer Haddad</w:t>
            </w:r>
          </w:p>
        </w:tc>
        <w:tc>
          <w:tcPr>
            <w:tcW w:type="dxa" w:w="2880"/>
          </w:tcPr>
          <w:p>
            <w:r>
              <w:t>Chief Financial Officer (joined 2024)</w:t>
            </w:r>
          </w:p>
        </w:tc>
        <w:tc>
          <w:tcPr>
            <w:tcW w:type="dxa" w:w="2880"/>
          </w:tcPr>
          <w:p>
            <w:r>
              <w:t>Presented collections position and receivables; committed to send supporting statements</w:t>
            </w:r>
          </w:p>
        </w:tc>
      </w:tr>
    </w:tbl>
    <w:p>
      <w:pPr>
        <w:spacing w:after="40"/>
      </w:pPr>
    </w:p>
    <w:p>
      <w:pPr>
        <w:spacing w:after="40"/>
      </w:pPr>
      <w:r>
        <w:t>3. Operations and project progress</w:t>
      </w:r>
    </w:p>
    <w:p>
      <w:pPr>
        <w:spacing w:after="40"/>
      </w:pPr>
      <w:r>
        <w:t>North Ring civil works (contract SAR 96.0m, client Qirawan Rail JV): about 380 workers were on site at the time of the visit. Earthworks and drainage structures on the northern section are complete and work on the remaining structures is ongoing. Physical progress observed is consistent with the reported 71% completion at 30 September 2026. The main contractor's site engineer confirmed that IPC 14 was certified in September 2026.</w:t>
      </w:r>
    </w:p>
    <w:p>
      <w:pPr>
        <w:spacing w:after="40"/>
      </w:pPr>
      <w:r>
        <w:t>Management confirmed that the other running projects (Health Cluster annex, Logistics park Phase 2, School cluster package and Industrial warehouse) are progressing in line with the project list dated 30 September 2026; these sites were not visited. Total backlog is SAR 412.0m, of which Qirawan Rail JV accounts for 35%.</w:t>
      </w:r>
    </w:p>
    <w:p>
      <w:pPr>
        <w:spacing w:after="40"/>
      </w:pPr>
    </w:p>
    <w:p>
      <w:pPr>
        <w:spacing w:after="40"/>
      </w:pPr>
      <w:r>
        <w:t>4. Assets observed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Equipment type</w:t>
            </w:r>
          </w:p>
        </w:tc>
        <w:tc>
          <w:tcPr>
            <w:tcW w:type="dxa" w:w="2160"/>
          </w:tcPr>
          <w:p>
            <w:r>
              <w:t>Units</w:t>
            </w:r>
          </w:p>
        </w:tc>
        <w:tc>
          <w:tcPr>
            <w:tcW w:type="dxa" w:w="2160"/>
          </w:tcPr>
          <w:p>
            <w:r>
              <w:t>Ownership</w:t>
            </w:r>
          </w:p>
        </w:tc>
        <w:tc>
          <w:tcPr>
            <w:tcW w:type="dxa" w:w="2160"/>
          </w:tcPr>
          <w:p>
            <w:r>
              <w:t>Insurance</w:t>
            </w:r>
          </w:p>
        </w:tc>
      </w:tr>
      <w:tr>
        <w:tc>
          <w:tcPr>
            <w:tcW w:type="dxa" w:w="2160"/>
          </w:tcPr>
          <w:p>
            <w:r>
              <w:t>Excavators</w:t>
            </w:r>
          </w:p>
        </w:tc>
        <w:tc>
          <w:tcPr>
            <w:tcW w:type="dxa" w:w="2160"/>
          </w:tcPr>
          <w:p>
            <w:r>
              <w:t>18</w:t>
            </w:r>
          </w:p>
        </w:tc>
        <w:tc>
          <w:tcPr>
            <w:tcW w:type="dxa" w:w="2160"/>
          </w:tcPr>
          <w:p>
            <w:r>
              <w:t>Owned</w:t>
            </w:r>
          </w:p>
        </w:tc>
        <w:tc>
          <w:tcPr>
            <w:tcW w:type="dxa" w:w="2160"/>
          </w:tcPr>
          <w:p>
            <w:r>
              <w:t>Insured</w:t>
            </w:r>
          </w:p>
        </w:tc>
      </w:tr>
      <w:tr>
        <w:tc>
          <w:tcPr>
            <w:tcW w:type="dxa" w:w="2160"/>
          </w:tcPr>
          <w:p>
            <w:r>
              <w:t>Wheel loaders</w:t>
            </w:r>
          </w:p>
        </w:tc>
        <w:tc>
          <w:tcPr>
            <w:tcW w:type="dxa" w:w="2160"/>
          </w:tcPr>
          <w:p>
            <w:r>
              <w:t>12</w:t>
            </w:r>
          </w:p>
        </w:tc>
        <w:tc>
          <w:tcPr>
            <w:tcW w:type="dxa" w:w="2160"/>
          </w:tcPr>
          <w:p>
            <w:r>
              <w:t>Owned</w:t>
            </w:r>
          </w:p>
        </w:tc>
        <w:tc>
          <w:tcPr>
            <w:tcW w:type="dxa" w:w="2160"/>
          </w:tcPr>
          <w:p>
            <w:r>
              <w:t>Insured</w:t>
            </w:r>
          </w:p>
        </w:tc>
      </w:tr>
      <w:tr>
        <w:tc>
          <w:tcPr>
            <w:tcW w:type="dxa" w:w="2160"/>
          </w:tcPr>
          <w:p>
            <w:r>
              <w:t>Mobile cranes</w:t>
            </w:r>
          </w:p>
        </w:tc>
        <w:tc>
          <w:tcPr>
            <w:tcW w:type="dxa" w:w="2160"/>
          </w:tcPr>
          <w:p>
            <w:r>
              <w:t>6</w:t>
            </w:r>
          </w:p>
        </w:tc>
        <w:tc>
          <w:tcPr>
            <w:tcW w:type="dxa" w:w="2160"/>
          </w:tcPr>
          <w:p>
            <w:r>
              <w:t>Owned</w:t>
            </w:r>
          </w:p>
        </w:tc>
        <w:tc>
          <w:tcPr>
            <w:tcW w:type="dxa" w:w="2160"/>
          </w:tcPr>
          <w:p>
            <w:r>
              <w:t>Insured</w:t>
            </w:r>
          </w:p>
        </w:tc>
      </w:tr>
      <w:tr>
        <w:tc>
          <w:tcPr>
            <w:tcW w:type="dxa" w:w="2160"/>
          </w:tcPr>
          <w:p>
            <w:r>
              <w:t>Dump trucks</w:t>
            </w:r>
          </w:p>
        </w:tc>
        <w:tc>
          <w:tcPr>
            <w:tcW w:type="dxa" w:w="2160"/>
          </w:tcPr>
          <w:p>
            <w:r>
              <w:t>10</w:t>
            </w:r>
          </w:p>
        </w:tc>
        <w:tc>
          <w:tcPr>
            <w:tcW w:type="dxa" w:w="2160"/>
          </w:tcPr>
          <w:p>
            <w:r>
              <w:t>Owned</w:t>
            </w:r>
          </w:p>
        </w:tc>
        <w:tc>
          <w:tcPr>
            <w:tcW w:type="dxa" w:w="2160"/>
          </w:tcPr>
          <w:p>
            <w:r>
              <w:t>Insured</w:t>
            </w:r>
          </w:p>
        </w:tc>
      </w:tr>
      <w:tr>
        <w:tc>
          <w:tcPr>
            <w:tcW w:type="dxa" w:w="2160"/>
          </w:tcPr>
          <w:p>
            <w:r>
              <w:t>Total heavy units</w:t>
            </w:r>
          </w:p>
        </w:tc>
        <w:tc>
          <w:tcPr>
            <w:tcW w:type="dxa" w:w="2160"/>
          </w:tcPr>
          <w:p>
            <w:r>
              <w:t>46</w:t>
            </w:r>
          </w:p>
        </w:tc>
        <w:tc>
          <w:tcPr>
            <w:tcW w:type="dxa" w:w="2160"/>
          </w:tcPr>
          <w:p>
            <w:r>
              <w:t>|</w:t>
            </w:r>
          </w:p>
        </w:tc>
        <w:tc>
          <w:tcPr>
            <w:tcW w:type="dxa" w:w="2160"/>
          </w:tcPr>
          <w:p>
            <w:r/>
          </w:p>
        </w:tc>
      </w:tr>
    </w:tbl>
    <w:p>
      <w:pPr>
        <w:spacing w:after="40"/>
      </w:pPr>
      <w:r>
        <w:t>The yard is fenced and guarded. The fleet is owned by the company (not leased) and covered by an insurance policy; a copy of the policy and the fixed asset register were requested to confirm values and expiry dates.</w:t>
      </w:r>
    </w:p>
    <w:p>
      <w:pPr>
        <w:spacing w:after="40"/>
      </w:pPr>
    </w:p>
    <w:p>
      <w:pPr>
        <w:spacing w:after="40"/>
      </w:pPr>
      <w:r>
        <w:t>5. Al Qirawan Metro Station — mobilisation</w:t>
      </w:r>
    </w:p>
    <w:p>
      <w:pPr>
        <w:spacing w:after="40"/>
      </w:pPr>
      <w:r>
        <w:t>The Al Qirawan Metro Station subcontract (SAR 118.0m, 22 months) was awarded by Qirawan Rail JV on 28 September 2026. Management plans to mobilise in December 2026 and intends to hire 150 additional workers for the project. The contract provides a 10% advance payment against an advance payment guarantee (SAR 11.8m), a 10% performance bond (SAR 11.8m, phased), 10% retention, and monthly IPCs with 60-day payment terms. The new LG line of SAR 20.0m is requested to issue these guarantees.</w:t>
      </w:r>
    </w:p>
    <w:p>
      <w:pPr>
        <w:spacing w:after="40"/>
      </w:pPr>
    </w:p>
    <w:p>
      <w:pPr>
        <w:spacing w:after="40"/>
      </w:pPr>
      <w:r>
        <w:t>6. Financial discussion with CFO</w:t>
      </w:r>
    </w:p>
    <w:p>
      <w:pPr>
        <w:spacing w:after="40"/>
      </w:pPr>
      <w:r>
        <w:t>The CFO stated that collections improved in October 2026 and that supporting bank statements will follow. At 30 June 2026 trade receivables were SAR 94.2m, of which SAR 47.1m were over 90 days. The CFO noted that IPC certification on two projects was delayed in Q1 2026 and has since normalised. The Nawras Building Co. balance of SAR 9.8m over 180 days remains under arbitration; the hearing is scheduled for January 2027.</w:t>
      </w:r>
    </w:p>
    <w:p>
      <w:pPr>
        <w:spacing w:after="40"/>
      </w:pPr>
    </w:p>
    <w:p>
      <w:pPr>
        <w:spacing w:after="40"/>
      </w:pPr>
      <w:r>
        <w:t>7. RM observations and red flags</w:t>
      </w:r>
    </w:p>
    <w:tbl>
      <w:tblPr>
        <w:tblStyle w:val="TableGrid"/>
        <w:tblW w:type="auto" w:w="0"/>
        <w:tblLook w:firstColumn="1" w:firstRow="1" w:lastColumn="0" w:lastRow="0" w:noHBand="0" w:noVBand="1" w:val="04A0"/>
      </w:tblPr>
      <w:tblGrid>
        <w:gridCol w:w="2880"/>
        <w:gridCol w:w="2880"/>
        <w:gridCol w:w="2880"/>
      </w:tblGrid>
      <w:tr>
        <w:tc>
          <w:tcPr>
            <w:tcW w:type="dxa" w:w="2880"/>
          </w:tcPr>
          <w:p>
            <w:r>
              <w:t>No.</w:t>
            </w:r>
          </w:p>
        </w:tc>
        <w:tc>
          <w:tcPr>
            <w:tcW w:type="dxa" w:w="2880"/>
          </w:tcPr>
          <w:p>
            <w:r>
              <w:t>Observation</w:t>
            </w:r>
          </w:p>
        </w:tc>
        <w:tc>
          <w:tcPr>
            <w:tcW w:type="dxa" w:w="2880"/>
          </w:tcPr>
          <w:p>
            <w:r>
              <w:t>Rating</w:t>
            </w:r>
          </w:p>
        </w:tc>
      </w:tr>
      <w:tr>
        <w:tc>
          <w:tcPr>
            <w:tcW w:type="dxa" w:w="2880"/>
          </w:tcPr>
          <w:p>
            <w:r>
              <w:t>1</w:t>
            </w:r>
          </w:p>
        </w:tc>
        <w:tc>
          <w:tcPr>
            <w:tcW w:type="dxa" w:w="2880"/>
          </w:tcPr>
          <w:p>
            <w:r>
              <w:t>Operations at North Ring are active and progress matches the reported 71% completion; IPC 14 certified per main contractor's site engineer.</w:t>
            </w:r>
          </w:p>
        </w:tc>
        <w:tc>
          <w:tcPr>
            <w:tcW w:type="dxa" w:w="2880"/>
          </w:tcPr>
          <w:p>
            <w:r>
              <w:t>Positive</w:t>
            </w:r>
          </w:p>
        </w:tc>
      </w:tr>
      <w:tr>
        <w:tc>
          <w:tcPr>
            <w:tcW w:type="dxa" w:w="2880"/>
          </w:tcPr>
          <w:p>
            <w:r>
              <w:t>2</w:t>
            </w:r>
          </w:p>
        </w:tc>
        <w:tc>
          <w:tcPr>
            <w:tcW w:type="dxa" w:w="2880"/>
          </w:tcPr>
          <w:p>
            <w:r>
              <w:t>Owned and insured fleet of 46 heavy units supports execution capacity for Al Qirawan.</w:t>
            </w:r>
          </w:p>
        </w:tc>
        <w:tc>
          <w:tcPr>
            <w:tcW w:type="dxa" w:w="2880"/>
          </w:tcPr>
          <w:p>
            <w:r>
              <w:t>Positive</w:t>
            </w:r>
          </w:p>
        </w:tc>
      </w:tr>
      <w:tr>
        <w:tc>
          <w:tcPr>
            <w:tcW w:type="dxa" w:w="2880"/>
          </w:tcPr>
          <w:p>
            <w:r>
              <w:t>3</w:t>
            </w:r>
          </w:p>
        </w:tc>
        <w:tc>
          <w:tcPr>
            <w:tcW w:type="dxa" w:w="2880"/>
          </w:tcPr>
          <w:p>
            <w:r>
              <w:t>Improved October collections are a statement by the CFO only; not yet supported by bank statements.</w:t>
            </w:r>
          </w:p>
        </w:tc>
        <w:tc>
          <w:tcPr>
            <w:tcW w:type="dxa" w:w="2880"/>
          </w:tcPr>
          <w:p>
            <w:r>
              <w:t>Open</w:t>
            </w:r>
          </w:p>
        </w:tc>
      </w:tr>
      <w:tr>
        <w:tc>
          <w:tcPr>
            <w:tcW w:type="dxa" w:w="2880"/>
          </w:tcPr>
          <w:p>
            <w:r>
              <w:t>4</w:t>
            </w:r>
          </w:p>
        </w:tc>
        <w:tc>
          <w:tcPr>
            <w:tcW w:type="dxa" w:w="2880"/>
          </w:tcPr>
          <w:p>
            <w:r>
              <w:t>Mobilisation of 150 additional workers in December 2026 will add to working capital needs before the first Al Qirawan IPC is paid (60-day terms).</w:t>
            </w:r>
          </w:p>
        </w:tc>
        <w:tc>
          <w:tcPr>
            <w:tcW w:type="dxa" w:w="2880"/>
          </w:tcPr>
          <w:p>
            <w:r>
              <w:t>Watch</w:t>
            </w:r>
          </w:p>
        </w:tc>
      </w:tr>
      <w:tr>
        <w:tc>
          <w:tcPr>
            <w:tcW w:type="dxa" w:w="2880"/>
          </w:tcPr>
          <w:p>
            <w:r>
              <w:t>5</w:t>
            </w:r>
          </w:p>
        </w:tc>
        <w:tc>
          <w:tcPr>
            <w:tcW w:type="dxa" w:w="2880"/>
          </w:tcPr>
          <w:p>
            <w:r>
              <w:t>Nawras Building Co. receivable SAR 9.8m over 180 days under arbitration; recovery timing uncertain.</w:t>
            </w:r>
          </w:p>
        </w:tc>
        <w:tc>
          <w:tcPr>
            <w:tcW w:type="dxa" w:w="2880"/>
          </w:tcPr>
          <w:p>
            <w:r>
              <w:t>Red flag</w:t>
            </w:r>
          </w:p>
        </w:tc>
      </w:tr>
      <w:tr>
        <w:tc>
          <w:tcPr>
            <w:tcW w:type="dxa" w:w="2880"/>
          </w:tcPr>
          <w:p>
            <w:r>
              <w:t>6</w:t>
            </w:r>
          </w:p>
        </w:tc>
        <w:tc>
          <w:tcPr>
            <w:tcW w:type="dxa" w:w="2880"/>
          </w:tcPr>
          <w:p>
            <w:r>
              <w:t>Concentration on Qirawan Rail JV (35% of backlog) increases with the Al Qirawan award.</w:t>
            </w:r>
          </w:p>
        </w:tc>
        <w:tc>
          <w:tcPr>
            <w:tcW w:type="dxa" w:w="2880"/>
          </w:tcPr>
          <w:p>
            <w:r>
              <w:t>Watch</w:t>
            </w:r>
          </w:p>
        </w:tc>
      </w:tr>
    </w:tbl>
    <w:p>
      <w:pPr>
        <w:spacing w:after="40"/>
      </w:pPr>
    </w:p>
    <w:p>
      <w:pPr>
        <w:spacing w:after="40"/>
      </w:pPr>
      <w:r>
        <w:t>8. Overall assessment</w:t>
      </w:r>
    </w:p>
    <w:p>
      <w:pPr>
        <w:spacing w:after="40"/>
      </w:pPr>
      <w:r>
        <w:t>Overall rating of visit: Satisfactory with observations</w:t>
      </w:r>
    </w:p>
    <w:p>
      <w:pPr>
        <w:spacing w:after="40"/>
      </w:pPr>
      <w:r>
        <w:t>The visit confirmed that the company is operating normally, with active sites, an owned and insured fleet and management engaged in the relationship. Reported progress on North Ring is supported by site observation and by the main contractor's engineer. The observations above, in particular the unsupported collections improvement and the aged Nawras receivable, should be closed or addressed in the credit application before approval.</w:t>
      </w:r>
    </w:p>
    <w:p>
      <w:pPr>
        <w:spacing w:after="40"/>
      </w:pPr>
    </w:p>
    <w:p>
      <w:pPr>
        <w:spacing w:after="40"/>
      </w:pPr>
      <w:r>
        <w:t>9. Follow-up actions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No.</w:t>
            </w:r>
          </w:p>
        </w:tc>
        <w:tc>
          <w:tcPr>
            <w:tcW w:type="dxa" w:w="1728"/>
          </w:tcPr>
          <w:p>
            <w:r>
              <w:t>Action</w:t>
            </w:r>
          </w:p>
        </w:tc>
        <w:tc>
          <w:tcPr>
            <w:tcW w:type="dxa" w:w="1728"/>
          </w:tcPr>
          <w:p>
            <w:r>
              <w:t>Owner</w:t>
            </w:r>
          </w:p>
        </w:tc>
        <w:tc>
          <w:tcPr>
            <w:tcW w:type="dxa" w:w="1728"/>
          </w:tcPr>
          <w:p>
            <w:r>
              <w:t>Target date</w:t>
            </w:r>
          </w:p>
        </w:tc>
        <w:tc>
          <w:tcPr>
            <w:tcW w:type="dxa" w:w="1728"/>
          </w:tcPr>
          <w:p>
            <w:r>
              <w:t>Status</w:t>
            </w:r>
          </w:p>
        </w:tc>
      </w:tr>
      <w:tr>
        <w:tc>
          <w:tcPr>
            <w:tcW w:type="dxa" w:w="1728"/>
          </w:tcPr>
          <w:p>
            <w:r>
              <w:t>1</w:t>
            </w:r>
          </w:p>
        </w:tc>
        <w:tc>
          <w:tcPr>
            <w:tcW w:type="dxa" w:w="1728"/>
          </w:tcPr>
          <w:p>
            <w:r>
              <w:t>Provide bank statements for October 2026 supporting improved collections</w:t>
            </w:r>
          </w:p>
        </w:tc>
        <w:tc>
          <w:tcPr>
            <w:tcW w:type="dxa" w:w="1728"/>
          </w:tcPr>
          <w:p>
            <w:r>
              <w:t>Sameer Haddad (CFO)</w:t>
            </w:r>
          </w:p>
        </w:tc>
        <w:tc>
          <w:tcPr>
            <w:tcW w:type="dxa" w:w="1728"/>
          </w:tcPr>
          <w:p>
            <w:r>
              <w:t>22 Oct 2026</w:t>
            </w:r>
          </w:p>
        </w:tc>
        <w:tc>
          <w:tcPr>
            <w:tcW w:type="dxa" w:w="1728"/>
          </w:tcPr>
          <w:p>
            <w:r>
              <w:t>Open</w:t>
            </w:r>
          </w:p>
        </w:tc>
      </w:tr>
      <w:tr>
        <w:tc>
          <w:tcPr>
            <w:tcW w:type="dxa" w:w="1728"/>
          </w:tcPr>
          <w:p>
            <w:r>
              <w:t>2</w:t>
            </w:r>
          </w:p>
        </w:tc>
        <w:tc>
          <w:tcPr>
            <w:tcW w:type="dxa" w:w="1728"/>
          </w:tcPr>
          <w:p>
            <w:r>
              <w:t>Provide copy of fleet insurance policy and fixed asset register</w:t>
            </w:r>
          </w:p>
        </w:tc>
        <w:tc>
          <w:tcPr>
            <w:tcW w:type="dxa" w:w="1728"/>
          </w:tcPr>
          <w:p>
            <w:r>
              <w:t>Sameer Haddad (CFO)</w:t>
            </w:r>
          </w:p>
        </w:tc>
        <w:tc>
          <w:tcPr>
            <w:tcW w:type="dxa" w:w="1728"/>
          </w:tcPr>
          <w:p>
            <w:r>
              <w:t>29 Oct 2026</w:t>
            </w:r>
          </w:p>
        </w:tc>
        <w:tc>
          <w:tcPr>
            <w:tcW w:type="dxa" w:w="1728"/>
          </w:tcPr>
          <w:p>
            <w:r>
              <w:t>Open</w:t>
            </w:r>
          </w:p>
        </w:tc>
      </w:tr>
      <w:tr>
        <w:tc>
          <w:tcPr>
            <w:tcW w:type="dxa" w:w="1728"/>
          </w:tcPr>
          <w:p>
            <w:r>
              <w:t>3</w:t>
            </w:r>
          </w:p>
        </w:tc>
        <w:tc>
          <w:tcPr>
            <w:tcW w:type="dxa" w:w="1728"/>
          </w:tcPr>
          <w:p>
            <w:r>
              <w:t>Provide Al Qirawan mobilisation and manpower plan with cash flow forecast</w:t>
            </w:r>
          </w:p>
        </w:tc>
        <w:tc>
          <w:tcPr>
            <w:tcW w:type="dxa" w:w="1728"/>
          </w:tcPr>
          <w:p>
            <w:r>
              <w:t>Faisal Saad Al Harbi</w:t>
            </w:r>
          </w:p>
        </w:tc>
        <w:tc>
          <w:tcPr>
            <w:tcW w:type="dxa" w:w="1728"/>
          </w:tcPr>
          <w:p>
            <w:r>
              <w:t>05 Nov 2026</w:t>
            </w:r>
          </w:p>
        </w:tc>
        <w:tc>
          <w:tcPr>
            <w:tcW w:type="dxa" w:w="1728"/>
          </w:tcPr>
          <w:p>
            <w:r>
              <w:t>Open</w:t>
            </w:r>
          </w:p>
        </w:tc>
      </w:tr>
      <w:tr>
        <w:tc>
          <w:tcPr>
            <w:tcW w:type="dxa" w:w="1728"/>
          </w:tcPr>
          <w:p>
            <w:r>
              <w:t>4</w:t>
            </w:r>
          </w:p>
        </w:tc>
        <w:tc>
          <w:tcPr>
            <w:tcW w:type="dxa" w:w="1728"/>
          </w:tcPr>
          <w:p>
            <w:r>
              <w:t>Obtain status update on Nawras Building Co. arbitration</w:t>
            </w:r>
          </w:p>
        </w:tc>
        <w:tc>
          <w:tcPr>
            <w:tcW w:type="dxa" w:w="1728"/>
          </w:tcPr>
          <w:p>
            <w:r>
              <w:t>Omar Al Qahtani (RM)</w:t>
            </w:r>
          </w:p>
        </w:tc>
        <w:tc>
          <w:tcPr>
            <w:tcW w:type="dxa" w:w="1728"/>
          </w:tcPr>
          <w:p>
            <w:r>
              <w:t>05 Nov 2026</w:t>
            </w:r>
          </w:p>
        </w:tc>
        <w:tc>
          <w:tcPr>
            <w:tcW w:type="dxa" w:w="1728"/>
          </w:tcPr>
          <w:p>
            <w:r>
              <w:t>Open</w:t>
            </w:r>
          </w:p>
        </w:tc>
      </w:tr>
      <w:tr>
        <w:tc>
          <w:tcPr>
            <w:tcW w:type="dxa" w:w="1728"/>
          </w:tcPr>
          <w:p>
            <w:r>
              <w:t>5</w:t>
            </w:r>
          </w:p>
        </w:tc>
        <w:tc>
          <w:tcPr>
            <w:tcW w:type="dxa" w:w="1728"/>
          </w:tcPr>
          <w:p>
            <w:r>
              <w:t>Reflect visit findings in annual review credit application</w:t>
            </w:r>
          </w:p>
        </w:tc>
        <w:tc>
          <w:tcPr>
            <w:tcW w:type="dxa" w:w="1728"/>
          </w:tcPr>
          <w:p>
            <w:r>
              <w:t>Rakan Al Dosari (Credit Analyst)</w:t>
            </w:r>
          </w:p>
        </w:tc>
        <w:tc>
          <w:tcPr>
            <w:tcW w:type="dxa" w:w="1728"/>
          </w:tcPr>
          <w:p>
            <w:r>
              <w:t>31 Oct 2026</w:t>
            </w:r>
          </w:p>
        </w:tc>
        <w:tc>
          <w:tcPr>
            <w:tcW w:type="dxa" w:w="1728"/>
          </w:tcPr>
          <w:p>
            <w:r>
              <w:t>Open</w:t>
            </w:r>
          </w:p>
        </w:tc>
      </w:tr>
    </w:tbl>
    <w:p>
      <w:pPr>
        <w:spacing w:after="40"/>
      </w:pPr>
    </w:p>
    <w:p>
      <w:pPr>
        <w:spacing w:after="40"/>
      </w:pPr>
      <w:r>
        <w:t>10. Sign-off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Prepared by (Relationship Manager): Signature [signed]</w:t>
            </w:r>
          </w:p>
        </w:tc>
        <w:tc>
          <w:tcPr>
            <w:tcW w:type="dxa" w:w="2160"/>
          </w:tcPr>
          <w:p>
            <w:r>
              <w:t>Name: Omar Al Qahtani</w:t>
            </w:r>
          </w:p>
        </w:tc>
        <w:tc>
          <w:tcPr>
            <w:tcW w:type="dxa" w:w="2160"/>
          </w:tcPr>
          <w:p>
            <w:r>
              <w:t>Title: Relationship Manager, Contracting &amp; Infrastructure</w:t>
            </w:r>
          </w:p>
        </w:tc>
        <w:tc>
          <w:tcPr>
            <w:tcW w:type="dxa" w:w="2160"/>
          </w:tcPr>
          <w:p>
            <w:r>
              <w:t>Date: 09 October 2026</w:t>
            </w:r>
          </w:p>
        </w:tc>
      </w:tr>
      <w:tr>
        <w:tc>
          <w:tcPr>
            <w:tcW w:type="dxa" w:w="2160"/>
          </w:tcPr>
          <w:p>
            <w:r>
              <w:t>Acknowledged by (Unit Head): Signature [signed]</w:t>
            </w:r>
          </w:p>
        </w:tc>
        <w:tc>
          <w:tcPr>
            <w:tcW w:type="dxa" w:w="2160"/>
          </w:tcPr>
          <w:p>
            <w:r>
              <w:t>Name: Majed Al Shehri</w:t>
            </w:r>
          </w:p>
        </w:tc>
        <w:tc>
          <w:tcPr>
            <w:tcW w:type="dxa" w:w="2160"/>
          </w:tcPr>
          <w:p>
            <w:r>
              <w:t>Title: Unit Head, Contracting &amp; Infrastructure</w:t>
            </w:r>
          </w:p>
        </w:tc>
        <w:tc>
          <w:tcPr>
            <w:tcW w:type="dxa" w:w="2160"/>
          </w:tcPr>
          <w:p>
            <w:r>
              <w:t>Date: 12 October 2026</w:t>
            </w:r>
          </w:p>
        </w:tc>
      </w:tr>
    </w:tbl>
    <w:p>
      <w:pPr>
        <w:spacing w:after="40"/>
      </w:pPr>
    </w:p>
    <w:tbl>
      <w:tblPr>
        <w:tblStyle w:val="TableGrid"/>
        <w:tblW w:type="auto" w:w="0"/>
        <w:tblLook w:firstColumn="1" w:firstRow="1" w:lastColumn="0" w:lastRow="0" w:noHBand="0" w:noVBand="1" w:val="04A0"/>
      </w:tblPr>
      <w:tblGrid>
        <w:gridCol w:w="2880"/>
        <w:gridCol w:w="2880"/>
        <w:gridCol w:w="2880"/>
      </w:tblGrid>
      <w:tr>
        <w:tc>
          <w:tcPr>
            <w:tcW w:type="dxa" w:w="2880"/>
          </w:tcPr>
          <w:p>
            <w:r>
              <w:t>Footer (each page): Sahara Gulf Bank — Internal / Confidential</w:t>
            </w:r>
          </w:p>
        </w:tc>
        <w:tc>
          <w:tcPr>
            <w:tcW w:type="dxa" w:w="2880"/>
          </w:tcPr>
          <w:p>
            <w:r>
              <w:t>Ref. SGB/CBG/SV/2026/0419</w:t>
            </w:r>
          </w:p>
        </w:tc>
        <w:tc>
          <w:tcPr>
            <w:tcW w:type="dxa" w:w="2880"/>
          </w:tcPr>
          <w:p>
            <w:r>
              <w:t>Page x of y</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