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D3557"/>
          <w:sz w:val="30"/>
        </w:rPr>
        <w:t>CREDIT PROPOSAL — REFERENCE (BUSINESS REQUEST, CREDIT COMMENTS, RECOMMENDATION)</w:t>
      </w:r>
    </w:p>
    <w:p>
      <w:r>
        <w:t>Dar Al Naseem Medical Supplies Co. · Renewal + increase</w:t>
      </w:r>
    </w:p>
    <w:p>
      <w:r>
        <w:rPr>
          <w:sz w:val="16"/>
        </w:rPr>
        <w:t>Date 13/10/2026 · RM Nawaf Al-Otaibi</w:t>
      </w:r>
    </w:p>
    <w:p>
      <w:pPr>
        <w:spacing w:before="160"/>
      </w:pPr>
      <w:r>
        <w:rPr>
          <w:b/>
          <w:color w:val="1D3557"/>
          <w:sz w:val="22"/>
        </w:rPr>
        <w:t>Key details</w:t>
      </w:r>
    </w:p>
    <w:tbl>
      <w:tblPr>
        <w:tblStyle w:val="TableGrid"/>
        <w:tblW w:type="auto" w:w="0"/>
        <w:tblLayout w:type="fixed"/>
        <w:tblLook w:firstColumn="1" w:firstRow="1" w:lastColumn="0" w:lastRow="0" w:noHBand="0" w:noVBand="1" w:val="04A0"/>
      </w:tblPr>
      <w:tblGrid>
        <w:gridCol w:w="2948"/>
        <w:gridCol w:w="6973"/>
      </w:tblGrid>
      <w:tr>
        <w:tc>
          <w:tcPr>
            <w:tcW w:type="dxa" w:w="2948"/>
            <w:shd w:val="clear" w:color="auto" w:fill="f3f1ec"/>
          </w:tcPr>
          <w:p>
            <w:r>
              <w:rPr>
                <w:b/>
                <w:sz w:val="17"/>
              </w:rPr>
              <w:t>Unit / branch:</w:t>
            </w:r>
          </w:p>
        </w:tc>
        <w:tc>
          <w:tcPr>
            <w:tcW w:type="dxa" w:w="6973"/>
          </w:tcPr>
          <w:p>
            <w:r>
              <w:rPr>
                <w:sz w:val="17"/>
              </w:rPr>
              <w:t>Corporate Banking — Central Region / Riyadh Olaya Branch</w:t>
            </w:r>
          </w:p>
        </w:tc>
      </w:tr>
      <w:tr>
        <w:tc>
          <w:tcPr>
            <w:tcW w:type="dxa" w:w="2948"/>
            <w:shd w:val="clear" w:color="auto" w:fill="f3f1ec"/>
          </w:tcPr>
          <w:p>
            <w:r>
              <w:rPr>
                <w:b/>
                <w:sz w:val="17"/>
              </w:rPr>
              <w:t>Customer:</w:t>
            </w:r>
          </w:p>
        </w:tc>
        <w:tc>
          <w:tcPr>
            <w:tcW w:type="dxa" w:w="6973"/>
          </w:tcPr>
          <w:p>
            <w:r>
              <w:rPr>
                <w:sz w:val="17"/>
              </w:rPr>
              <w:t>Dar Al Naseem Medical Supplies Co.</w:t>
            </w:r>
          </w:p>
        </w:tc>
      </w:tr>
      <w:tr>
        <w:tc>
          <w:tcPr>
            <w:tcW w:type="dxa" w:w="2948"/>
            <w:shd w:val="clear" w:color="auto" w:fill="f3f1ec"/>
          </w:tcPr>
          <w:p>
            <w:r>
              <w:rPr>
                <w:b/>
                <w:sz w:val="17"/>
              </w:rPr>
              <w:t>CIF / base no.:</w:t>
            </w:r>
          </w:p>
        </w:tc>
        <w:tc>
          <w:tcPr>
            <w:tcW w:type="dxa" w:w="6973"/>
          </w:tcPr>
          <w:p>
            <w:r>
              <w:rPr>
                <w:sz w:val="17"/>
              </w:rPr>
              <w:t>CB09001</w:t>
            </w:r>
          </w:p>
        </w:tc>
      </w:tr>
      <w:tr>
        <w:tc>
          <w:tcPr>
            <w:tcW w:type="dxa" w:w="2948"/>
            <w:shd w:val="clear" w:color="auto" w:fill="f3f1ec"/>
          </w:tcPr>
          <w:p>
            <w:r>
              <w:rPr>
                <w:b/>
                <w:sz w:val="17"/>
              </w:rPr>
              <w:t>Group:</w:t>
            </w:r>
          </w:p>
        </w:tc>
        <w:tc>
          <w:tcPr>
            <w:tcW w:type="dxa" w:w="6973"/>
          </w:tcPr>
          <w:p>
            <w:r>
              <w:rPr>
                <w:sz w:val="17"/>
              </w:rPr>
              <w:t>Naseem Holding Group (CG9001)</w:t>
            </w:r>
          </w:p>
        </w:tc>
      </w:tr>
      <w:tr>
        <w:tc>
          <w:tcPr>
            <w:tcW w:type="dxa" w:w="2948"/>
            <w:shd w:val="clear" w:color="auto" w:fill="f3f1ec"/>
          </w:tcPr>
          <w:p>
            <w:r>
              <w:rPr>
                <w:b/>
                <w:sz w:val="17"/>
              </w:rPr>
              <w:t>Date account opened:</w:t>
            </w:r>
          </w:p>
        </w:tc>
        <w:tc>
          <w:tcPr>
            <w:tcW w:type="dxa" w:w="6973"/>
          </w:tcPr>
          <w:p>
            <w:r>
              <w:rPr>
                <w:sz w:val="17"/>
              </w:rPr>
              <w:t>02/05/2017</w:t>
            </w:r>
          </w:p>
        </w:tc>
      </w:tr>
      <w:tr>
        <w:tc>
          <w:tcPr>
            <w:tcW w:type="dxa" w:w="2948"/>
            <w:shd w:val="clear" w:color="auto" w:fill="f3f1ec"/>
          </w:tcPr>
          <w:p>
            <w:r>
              <w:rPr>
                <w:b/>
                <w:sz w:val="17"/>
              </w:rPr>
              <w:t>Related / connected party:</w:t>
            </w:r>
          </w:p>
        </w:tc>
        <w:tc>
          <w:tcPr>
            <w:tcW w:type="dxa" w:w="6973"/>
          </w:tcPr>
          <w:p>
            <w:r>
              <w:rPr>
                <w:sz w:val="17"/>
              </w:rPr>
              <w:t>Yes — Naseem Lab Systems Co. (CIF CB09005, sister company)</w:t>
            </w:r>
          </w:p>
        </w:tc>
      </w:tr>
      <w:tr>
        <w:tc>
          <w:tcPr>
            <w:tcW w:type="dxa" w:w="2948"/>
            <w:shd w:val="clear" w:color="auto" w:fill="f3f1ec"/>
          </w:tcPr>
          <w:p>
            <w:r>
              <w:rPr>
                <w:b/>
                <w:sz w:val="17"/>
              </w:rPr>
              <w:t>Date:</w:t>
            </w:r>
          </w:p>
        </w:tc>
        <w:tc>
          <w:tcPr>
            <w:tcW w:type="dxa" w:w="6973"/>
          </w:tcPr>
          <w:p>
            <w:r>
              <w:rPr>
                <w:sz w:val="17"/>
              </w:rPr>
              <w:t>13/10/2026</w:t>
            </w:r>
          </w:p>
        </w:tc>
      </w:tr>
      <w:tr>
        <w:tc>
          <w:tcPr>
            <w:tcW w:type="dxa" w:w="2948"/>
            <w:shd w:val="clear" w:color="auto" w:fill="f3f1ec"/>
          </w:tcPr>
          <w:p>
            <w:r>
              <w:rPr>
                <w:b/>
                <w:sz w:val="17"/>
              </w:rPr>
              <w:t>AO / RO:</w:t>
            </w:r>
          </w:p>
        </w:tc>
        <w:tc>
          <w:tcPr>
            <w:tcW w:type="dxa" w:w="6973"/>
          </w:tcPr>
          <w:p>
            <w:r>
              <w:rPr>
                <w:sz w:val="17"/>
              </w:rPr>
              <w:t>Nawaf Al-Otaibi / Abeer Al-Omari</w:t>
            </w:r>
          </w:p>
        </w:tc>
      </w:tr>
      <w:tr>
        <w:tc>
          <w:tcPr>
            <w:tcW w:type="dxa" w:w="2948"/>
            <w:shd w:val="clear" w:color="auto" w:fill="f3f1ec"/>
          </w:tcPr>
          <w:p>
            <w:r>
              <w:rPr>
                <w:b/>
                <w:sz w:val="17"/>
              </w:rPr>
              <w:t>Purpose code:</w:t>
            </w:r>
          </w:p>
        </w:tc>
        <w:tc>
          <w:tcPr>
            <w:tcW w:type="dxa" w:w="6973"/>
          </w:tcPr>
          <w:p>
            <w:r>
              <w:rPr>
                <w:sz w:val="17"/>
              </w:rPr>
              <w:t>WC-01 Working capital (trade)</w:t>
            </w:r>
          </w:p>
        </w:tc>
      </w:tr>
      <w:tr>
        <w:tc>
          <w:tcPr>
            <w:tcW w:type="dxa" w:w="2948"/>
            <w:shd w:val="clear" w:color="auto" w:fill="f3f1ec"/>
          </w:tcPr>
          <w:p>
            <w:r>
              <w:rPr>
                <w:b/>
                <w:sz w:val="17"/>
              </w:rPr>
              <w:t>Request type:</w:t>
            </w:r>
          </w:p>
        </w:tc>
        <w:tc>
          <w:tcPr>
            <w:tcW w:type="dxa" w:w="6973"/>
          </w:tcPr>
          <w:p>
            <w:r>
              <w:rPr>
                <w:sz w:val="17"/>
              </w:rPr>
              <w:t>Renewal + increase</w:t>
            </w:r>
          </w:p>
        </w:tc>
      </w:tr>
      <w:tr>
        <w:tc>
          <w:tcPr>
            <w:tcW w:type="dxa" w:w="2948"/>
            <w:shd w:val="clear" w:color="auto" w:fill="f3f1ec"/>
          </w:tcPr>
          <w:p>
            <w:r>
              <w:rPr>
                <w:b/>
                <w:sz w:val="17"/>
              </w:rPr>
              <w:t>Review date:</w:t>
            </w:r>
          </w:p>
        </w:tc>
        <w:tc>
          <w:tcPr>
            <w:tcW w:type="dxa" w:w="6973"/>
          </w:tcPr>
          <w:p>
            <w:r>
              <w:rPr>
                <w:sz w:val="17"/>
              </w:rPr>
              <w:t>30/11/2026</w:t>
            </w:r>
          </w:p>
        </w:tc>
      </w:tr>
      <w:tr>
        <w:tc>
          <w:tcPr>
            <w:tcW w:type="dxa" w:w="2948"/>
            <w:shd w:val="clear" w:color="auto" w:fill="f3f1ec"/>
          </w:tcPr>
          <w:p>
            <w:r>
              <w:rPr>
                <w:b/>
                <w:sz w:val="17"/>
              </w:rPr>
              <w:t>Industry code:</w:t>
            </w:r>
          </w:p>
        </w:tc>
        <w:tc>
          <w:tcPr>
            <w:tcW w:type="dxa" w:w="6973"/>
          </w:tcPr>
          <w:p>
            <w:r>
              <w:rPr>
                <w:sz w:val="17"/>
              </w:rPr>
              <w:t>G4646 — Wholesale of pharmaceutical and medical goods</w:t>
            </w:r>
          </w:p>
        </w:tc>
      </w:tr>
      <w:tr>
        <w:tc>
          <w:tcPr>
            <w:tcW w:type="dxa" w:w="2948"/>
            <w:shd w:val="clear" w:color="auto" w:fill="f3f1ec"/>
          </w:tcPr>
          <w:p>
            <w:r>
              <w:rPr>
                <w:b/>
                <w:sz w:val="17"/>
              </w:rPr>
              <w:t>Collateral code:</w:t>
            </w:r>
          </w:p>
        </w:tc>
        <w:tc>
          <w:tcPr>
            <w:tcW w:type="dxa" w:w="6973"/>
          </w:tcPr>
          <w:p>
            <w:r>
              <w:rPr>
                <w:sz w:val="17"/>
              </w:rPr>
              <w:t>RE — Real-estate mortgage</w:t>
            </w:r>
          </w:p>
        </w:tc>
      </w:tr>
      <w:tr>
        <w:tc>
          <w:tcPr>
            <w:tcW w:type="dxa" w:w="2948"/>
            <w:shd w:val="clear" w:color="auto" w:fill="f3f1ec"/>
          </w:tcPr>
          <w:p>
            <w:r>
              <w:rPr>
                <w:b/>
                <w:sz w:val="17"/>
              </w:rPr>
              <w:t>Rating (existing / proposed):</w:t>
            </w:r>
          </w:p>
        </w:tc>
        <w:tc>
          <w:tcPr>
            <w:tcW w:type="dxa" w:w="6973"/>
          </w:tcPr>
          <w:p>
            <w:r>
              <w:rPr>
                <w:sz w:val="17"/>
              </w:rPr>
              <w:t>BBB / BBB</w:t>
            </w:r>
          </w:p>
        </w:tc>
      </w:tr>
      <w:tr>
        <w:tc>
          <w:tcPr>
            <w:tcW w:type="dxa" w:w="2948"/>
            <w:shd w:val="clear" w:color="auto" w:fill="f3f1ec"/>
          </w:tcPr>
          <w:p>
            <w:r>
              <w:rPr>
                <w:b/>
                <w:sz w:val="17"/>
              </w:rPr>
              <w:t>CR number:</w:t>
            </w:r>
          </w:p>
        </w:tc>
        <w:tc>
          <w:tcPr>
            <w:tcW w:type="dxa" w:w="6973"/>
          </w:tcPr>
          <w:p>
            <w:r>
              <w:rPr>
                <w:sz w:val="17"/>
              </w:rPr>
              <w:t>1010384527</w:t>
            </w:r>
          </w:p>
        </w:tc>
      </w:tr>
    </w:tbl>
    <w:p>
      <w:pPr>
        <w:spacing w:before="160"/>
      </w:pPr>
      <w:r>
        <w:rPr>
          <w:b/>
          <w:color w:val="1D3557"/>
          <w:sz w:val="22"/>
        </w:rPr>
        <w:t>1. Action requested</w:t>
      </w:r>
    </w:p>
    <w:p>
      <w:r>
        <w:t>Renew the working-capital facilities of SAR 95.0m approved under CC/2025/031 dated 20/02/2025 and increase them to SAR 140.0m (short-term Murabaha SAR 40.0m to 65.0m, letters of credit SAR 30.0m to 40.0m, trust receipts SAR 15.0m to 25.0m, letters of guarantee SAR 10.0m unchanged), with the warehouse term loan (SAR 6.5m) running off; total facilities SAR 146.5m; group cap SAR 110.0m to SAR 155.0m.</w:t>
      </w:r>
    </w:p>
    <w:p>
      <w:pPr>
        <w:spacing w:before="160"/>
      </w:pPr>
      <w:r>
        <w:rPr>
          <w:b/>
          <w:color w:val="1D3557"/>
          <w:sz w:val="22"/>
        </w:rPr>
        <w:t>2. Facilities</w:t>
      </w:r>
    </w:p>
    <w:tbl>
      <w:tblPr>
        <w:tblStyle w:val="TableGrid"/>
        <w:tblW w:type="auto" w:w="0"/>
        <w:jc w:val="center"/>
        <w:tblLayout w:type="fixed"/>
        <w:tblLook w:firstColumn="1" w:firstRow="1" w:lastColumn="0" w:lastRow="0" w:noHBand="0" w:noVBand="1" w:val="04A0"/>
      </w:tblPr>
      <w:tblGrid>
        <w:gridCol w:w="2679"/>
        <w:gridCol w:w="843"/>
        <w:gridCol w:w="1191"/>
        <w:gridCol w:w="943"/>
        <w:gridCol w:w="843"/>
        <w:gridCol w:w="3423"/>
      </w:tblGrid>
      <w:tr>
        <w:tc>
          <w:tcPr>
            <w:tcW w:type="dxa" w:w="2679"/>
            <w:shd w:val="clear" w:color="auto" w:fill="e9e6df"/>
          </w:tcPr>
          <w:p>
            <w:pPr>
              <w:spacing w:after="0"/>
            </w:pPr>
            <w:r>
              <w:rPr>
                <w:b/>
                <w:sz w:val="17"/>
              </w:rPr>
              <w:t>Facility (SAR m)</w:t>
            </w:r>
          </w:p>
        </w:tc>
        <w:tc>
          <w:tcPr>
            <w:tcW w:type="dxa" w:w="843"/>
            <w:shd w:val="clear" w:color="auto" w:fill="e9e6df"/>
          </w:tcPr>
          <w:p>
            <w:pPr>
              <w:spacing w:after="0"/>
            </w:pPr>
            <w:r>
              <w:rPr>
                <w:b/>
                <w:sz w:val="17"/>
              </w:rPr>
              <w:t>Existing</w:t>
            </w:r>
          </w:p>
        </w:tc>
        <w:tc>
          <w:tcPr>
            <w:tcW w:type="dxa" w:w="1191"/>
            <w:shd w:val="clear" w:color="auto" w:fill="e9e6df"/>
          </w:tcPr>
          <w:p>
            <w:pPr>
              <w:spacing w:after="0"/>
            </w:pPr>
            <w:r>
              <w:rPr>
                <w:b/>
                <w:sz w:val="17"/>
              </w:rPr>
              <w:t>Outstanding</w:t>
            </w:r>
          </w:p>
        </w:tc>
        <w:tc>
          <w:tcPr>
            <w:tcW w:type="dxa" w:w="943"/>
            <w:shd w:val="clear" w:color="auto" w:fill="e9e6df"/>
          </w:tcPr>
          <w:p>
            <w:pPr>
              <w:spacing w:after="0"/>
            </w:pPr>
            <w:r>
              <w:rPr>
                <w:b/>
                <w:sz w:val="17"/>
              </w:rPr>
              <w:t>Proposed</w:t>
            </w:r>
          </w:p>
        </w:tc>
        <w:tc>
          <w:tcPr>
            <w:tcW w:type="dxa" w:w="843"/>
            <w:shd w:val="clear" w:color="auto" w:fill="e9e6df"/>
          </w:tcPr>
          <w:p>
            <w:pPr>
              <w:spacing w:after="0"/>
            </w:pPr>
            <w:r>
              <w:rPr>
                <w:b/>
                <w:sz w:val="17"/>
              </w:rPr>
              <w:t>Cash margin</w:t>
            </w:r>
          </w:p>
        </w:tc>
        <w:tc>
          <w:tcPr>
            <w:tcW w:type="dxa" w:w="3423"/>
            <w:shd w:val="clear" w:color="auto" w:fill="e9e6df"/>
          </w:tcPr>
          <w:p>
            <w:pPr>
              <w:spacing w:after="0"/>
            </w:pPr>
            <w:r>
              <w:rPr>
                <w:b/>
                <w:sz w:val="17"/>
              </w:rPr>
              <w:t>Particulars</w:t>
            </w:r>
          </w:p>
        </w:tc>
      </w:tr>
      <w:tr>
        <w:tc>
          <w:tcPr>
            <w:tcW w:type="dxa" w:w="2679"/>
          </w:tcPr>
          <w:p>
            <w:pPr>
              <w:spacing w:after="0"/>
            </w:pPr>
            <w:r>
              <w:rPr>
                <w:sz w:val="17"/>
              </w:rPr>
              <w:t>Short-term Murabaha</w:t>
            </w:r>
          </w:p>
        </w:tc>
        <w:tc>
          <w:tcPr>
            <w:tcW w:type="dxa" w:w="843"/>
          </w:tcPr>
          <w:p>
            <w:pPr>
              <w:spacing w:after="0"/>
              <w:jc w:val="right"/>
            </w:pPr>
            <w:r>
              <w:rPr>
                <w:sz w:val="17"/>
              </w:rPr>
              <w:t>40.0</w:t>
            </w:r>
          </w:p>
        </w:tc>
        <w:tc>
          <w:tcPr>
            <w:tcW w:type="dxa" w:w="1191"/>
          </w:tcPr>
          <w:p>
            <w:pPr>
              <w:spacing w:after="0"/>
              <w:jc w:val="right"/>
            </w:pPr>
            <w:r>
              <w:rPr>
                <w:sz w:val="17"/>
              </w:rPr>
              <w:t>39.6</w:t>
            </w:r>
          </w:p>
        </w:tc>
        <w:tc>
          <w:tcPr>
            <w:tcW w:type="dxa" w:w="943"/>
          </w:tcPr>
          <w:p>
            <w:pPr>
              <w:spacing w:after="0"/>
              <w:jc w:val="right"/>
            </w:pPr>
            <w:r>
              <w:rPr>
                <w:sz w:val="17"/>
              </w:rPr>
              <w:t>65.0</w:t>
            </w:r>
          </w:p>
        </w:tc>
        <w:tc>
          <w:tcPr>
            <w:tcW w:type="dxa" w:w="843"/>
          </w:tcPr>
          <w:p>
            <w:pPr>
              <w:spacing w:after="0"/>
            </w:pPr>
            <w:r>
              <w:rPr>
                <w:sz w:val="17"/>
              </w:rPr>
            </w:r>
          </w:p>
        </w:tc>
        <w:tc>
          <w:tcPr>
            <w:tcW w:type="dxa" w:w="3423"/>
          </w:tcPr>
          <w:p>
            <w:pPr>
              <w:spacing w:after="0"/>
            </w:pPr>
            <w:r>
              <w:rPr>
                <w:sz w:val="17"/>
              </w:rPr>
              <w:t>3M SAIBOR + 1.75%, floor 5.75%; Up to 120 days per draw</w:t>
            </w:r>
          </w:p>
        </w:tc>
      </w:tr>
      <w:tr>
        <w:tc>
          <w:tcPr>
            <w:tcW w:type="dxa" w:w="2679"/>
          </w:tcPr>
          <w:p>
            <w:pPr>
              <w:spacing w:after="0"/>
            </w:pPr>
            <w:r>
              <w:rPr>
                <w:sz w:val="17"/>
              </w:rPr>
              <w:t>Letters of credit (sight / usance 90 days)</w:t>
            </w:r>
          </w:p>
        </w:tc>
        <w:tc>
          <w:tcPr>
            <w:tcW w:type="dxa" w:w="843"/>
          </w:tcPr>
          <w:p>
            <w:pPr>
              <w:spacing w:after="0"/>
              <w:jc w:val="right"/>
            </w:pPr>
            <w:r>
              <w:rPr>
                <w:sz w:val="17"/>
              </w:rPr>
              <w:t>30.0</w:t>
            </w:r>
          </w:p>
        </w:tc>
        <w:tc>
          <w:tcPr>
            <w:tcW w:type="dxa" w:w="1191"/>
          </w:tcPr>
          <w:p>
            <w:pPr>
              <w:spacing w:after="0"/>
              <w:jc w:val="right"/>
            </w:pPr>
            <w:r>
              <w:rPr>
                <w:sz w:val="17"/>
              </w:rPr>
              <w:t>18.4</w:t>
            </w:r>
          </w:p>
        </w:tc>
        <w:tc>
          <w:tcPr>
            <w:tcW w:type="dxa" w:w="943"/>
          </w:tcPr>
          <w:p>
            <w:pPr>
              <w:spacing w:after="0"/>
              <w:jc w:val="right"/>
            </w:pPr>
            <w:r>
              <w:rPr>
                <w:sz w:val="17"/>
              </w:rPr>
              <w:t>40.0</w:t>
            </w:r>
          </w:p>
        </w:tc>
        <w:tc>
          <w:tcPr>
            <w:tcW w:type="dxa" w:w="843"/>
          </w:tcPr>
          <w:p>
            <w:pPr>
              <w:spacing w:after="0"/>
              <w:jc w:val="right"/>
            </w:pPr>
            <w:r>
              <w:rPr>
                <w:sz w:val="17"/>
              </w:rPr>
              <w:t>10%</w:t>
            </w:r>
          </w:p>
        </w:tc>
        <w:tc>
          <w:tcPr>
            <w:tcW w:type="dxa" w:w="3423"/>
          </w:tcPr>
          <w:p>
            <w:pPr>
              <w:spacing w:after="0"/>
            </w:pPr>
            <w:r>
              <w:rPr>
                <w:sz w:val="17"/>
              </w:rPr>
              <w:t>Comm. 0.25% p.q.; Usance up to 90 days</w:t>
            </w:r>
          </w:p>
        </w:tc>
      </w:tr>
      <w:tr>
        <w:tc>
          <w:tcPr>
            <w:tcW w:type="dxa" w:w="2679"/>
          </w:tcPr>
          <w:p>
            <w:pPr>
              <w:spacing w:after="0"/>
            </w:pPr>
            <w:r>
              <w:rPr>
                <w:sz w:val="17"/>
              </w:rPr>
              <w:t>Trust receipts</w:t>
            </w:r>
          </w:p>
        </w:tc>
        <w:tc>
          <w:tcPr>
            <w:tcW w:type="dxa" w:w="843"/>
          </w:tcPr>
          <w:p>
            <w:pPr>
              <w:spacing w:after="0"/>
              <w:jc w:val="right"/>
            </w:pPr>
            <w:r>
              <w:rPr>
                <w:sz w:val="17"/>
              </w:rPr>
              <w:t>15.0</w:t>
            </w:r>
          </w:p>
        </w:tc>
        <w:tc>
          <w:tcPr>
            <w:tcW w:type="dxa" w:w="1191"/>
          </w:tcPr>
          <w:p>
            <w:pPr>
              <w:spacing w:after="0"/>
              <w:jc w:val="right"/>
            </w:pPr>
            <w:r>
              <w:rPr>
                <w:sz w:val="17"/>
              </w:rPr>
              <w:t>14.8</w:t>
            </w:r>
          </w:p>
        </w:tc>
        <w:tc>
          <w:tcPr>
            <w:tcW w:type="dxa" w:w="943"/>
          </w:tcPr>
          <w:p>
            <w:pPr>
              <w:spacing w:after="0"/>
              <w:jc w:val="right"/>
            </w:pPr>
            <w:r>
              <w:rPr>
                <w:sz w:val="17"/>
              </w:rPr>
              <w:t>25.0</w:t>
            </w:r>
          </w:p>
        </w:tc>
        <w:tc>
          <w:tcPr>
            <w:tcW w:type="dxa" w:w="843"/>
          </w:tcPr>
          <w:p>
            <w:pPr>
              <w:spacing w:after="0"/>
            </w:pPr>
            <w:r>
              <w:rPr>
                <w:sz w:val="17"/>
              </w:rPr>
            </w:r>
          </w:p>
        </w:tc>
        <w:tc>
          <w:tcPr>
            <w:tcW w:type="dxa" w:w="3423"/>
          </w:tcPr>
          <w:p>
            <w:pPr>
              <w:spacing w:after="0"/>
            </w:pPr>
            <w:r>
              <w:rPr>
                <w:sz w:val="17"/>
              </w:rPr>
              <w:t>3M SAIBOR + 1.75%, floor 5.75%; Up to 120 days</w:t>
            </w:r>
          </w:p>
        </w:tc>
      </w:tr>
      <w:tr>
        <w:tc>
          <w:tcPr>
            <w:tcW w:type="dxa" w:w="2679"/>
          </w:tcPr>
          <w:p>
            <w:pPr>
              <w:spacing w:after="0"/>
            </w:pPr>
            <w:r>
              <w:rPr>
                <w:sz w:val="17"/>
              </w:rPr>
              <w:t>Letters of guarantee (tender, performance)</w:t>
            </w:r>
          </w:p>
        </w:tc>
        <w:tc>
          <w:tcPr>
            <w:tcW w:type="dxa" w:w="843"/>
          </w:tcPr>
          <w:p>
            <w:pPr>
              <w:spacing w:after="0"/>
              <w:jc w:val="right"/>
            </w:pPr>
            <w:r>
              <w:rPr>
                <w:sz w:val="17"/>
              </w:rPr>
              <w:t>10.0</w:t>
            </w:r>
          </w:p>
        </w:tc>
        <w:tc>
          <w:tcPr>
            <w:tcW w:type="dxa" w:w="1191"/>
          </w:tcPr>
          <w:p>
            <w:pPr>
              <w:spacing w:after="0"/>
              <w:jc w:val="right"/>
            </w:pPr>
            <w:r>
              <w:rPr>
                <w:sz w:val="17"/>
              </w:rPr>
              <w:t>3.1</w:t>
            </w:r>
          </w:p>
        </w:tc>
        <w:tc>
          <w:tcPr>
            <w:tcW w:type="dxa" w:w="943"/>
          </w:tcPr>
          <w:p>
            <w:pPr>
              <w:spacing w:after="0"/>
              <w:jc w:val="right"/>
            </w:pPr>
            <w:r>
              <w:rPr>
                <w:sz w:val="17"/>
              </w:rPr>
              <w:t>10.0</w:t>
            </w:r>
          </w:p>
        </w:tc>
        <w:tc>
          <w:tcPr>
            <w:tcW w:type="dxa" w:w="843"/>
          </w:tcPr>
          <w:p>
            <w:pPr>
              <w:spacing w:after="0"/>
              <w:jc w:val="right"/>
            </w:pPr>
            <w:r>
              <w:rPr>
                <w:sz w:val="17"/>
              </w:rPr>
              <w:t>10%</w:t>
            </w:r>
          </w:p>
        </w:tc>
        <w:tc>
          <w:tcPr>
            <w:tcW w:type="dxa" w:w="3423"/>
          </w:tcPr>
          <w:p>
            <w:pPr>
              <w:spacing w:after="0"/>
            </w:pPr>
            <w:r>
              <w:rPr>
                <w:sz w:val="17"/>
              </w:rPr>
              <w:t>Comm. 0.60% p.a.; Up to 24 months</w:t>
            </w:r>
          </w:p>
        </w:tc>
      </w:tr>
      <w:tr>
        <w:tc>
          <w:tcPr>
            <w:tcW w:type="dxa" w:w="2679"/>
          </w:tcPr>
          <w:p>
            <w:pPr>
              <w:spacing w:after="0"/>
            </w:pPr>
            <w:r>
              <w:rPr>
                <w:sz w:val="17"/>
              </w:rPr>
              <w:t>Term loan (warehouse), amortising</w:t>
            </w:r>
          </w:p>
        </w:tc>
        <w:tc>
          <w:tcPr>
            <w:tcW w:type="dxa" w:w="843"/>
          </w:tcPr>
          <w:p>
            <w:pPr>
              <w:spacing w:after="0"/>
              <w:jc w:val="right"/>
            </w:pPr>
            <w:r>
              <w:rPr>
                <w:sz w:val="17"/>
              </w:rPr>
              <w:t>6.5</w:t>
            </w:r>
          </w:p>
        </w:tc>
        <w:tc>
          <w:tcPr>
            <w:tcW w:type="dxa" w:w="1191"/>
          </w:tcPr>
          <w:p>
            <w:pPr>
              <w:spacing w:after="0"/>
              <w:jc w:val="right"/>
            </w:pPr>
            <w:r>
              <w:rPr>
                <w:sz w:val="17"/>
              </w:rPr>
              <w:t>6.5</w:t>
            </w:r>
          </w:p>
        </w:tc>
        <w:tc>
          <w:tcPr>
            <w:tcW w:type="dxa" w:w="943"/>
          </w:tcPr>
          <w:p>
            <w:pPr>
              <w:spacing w:after="0"/>
              <w:jc w:val="right"/>
            </w:pPr>
            <w:r>
              <w:rPr>
                <w:sz w:val="17"/>
              </w:rPr>
              <w:t>6.5</w:t>
            </w:r>
          </w:p>
        </w:tc>
        <w:tc>
          <w:tcPr>
            <w:tcW w:type="dxa" w:w="843"/>
          </w:tcPr>
          <w:p>
            <w:pPr>
              <w:spacing w:after="0"/>
            </w:pPr>
            <w:r>
              <w:rPr>
                <w:sz w:val="17"/>
              </w:rPr>
            </w:r>
          </w:p>
        </w:tc>
        <w:tc>
          <w:tcPr>
            <w:tcW w:type="dxa" w:w="3423"/>
          </w:tcPr>
          <w:p>
            <w:pPr>
              <w:spacing w:after="0"/>
            </w:pPr>
            <w:r>
              <w:rPr>
                <w:sz w:val="17"/>
              </w:rPr>
              <w:t>3M SAIBOR + 2.00%, floor 6.00%; To 01/2030; Not renewed; runs off</w:t>
            </w:r>
          </w:p>
        </w:tc>
      </w:tr>
      <w:tr>
        <w:tc>
          <w:tcPr>
            <w:tcW w:type="dxa" w:w="2679"/>
          </w:tcPr>
          <w:p>
            <w:pPr>
              <w:spacing w:after="0"/>
            </w:pPr>
            <w:r>
              <w:rPr>
                <w:sz w:val="17"/>
              </w:rPr>
              <w:t>Total facilities</w:t>
            </w:r>
          </w:p>
        </w:tc>
        <w:tc>
          <w:tcPr>
            <w:tcW w:type="dxa" w:w="843"/>
          </w:tcPr>
          <w:p>
            <w:pPr>
              <w:spacing w:after="0"/>
              <w:jc w:val="right"/>
            </w:pPr>
            <w:r>
              <w:rPr>
                <w:sz w:val="17"/>
              </w:rPr>
              <w:t>101.5</w:t>
            </w:r>
          </w:p>
        </w:tc>
        <w:tc>
          <w:tcPr>
            <w:tcW w:type="dxa" w:w="1191"/>
          </w:tcPr>
          <w:p>
            <w:pPr>
              <w:spacing w:after="0"/>
              <w:jc w:val="right"/>
            </w:pPr>
            <w:r>
              <w:rPr>
                <w:sz w:val="17"/>
              </w:rPr>
              <w:t>82.4</w:t>
            </w:r>
          </w:p>
        </w:tc>
        <w:tc>
          <w:tcPr>
            <w:tcW w:type="dxa" w:w="943"/>
          </w:tcPr>
          <w:p>
            <w:pPr>
              <w:spacing w:after="0"/>
              <w:jc w:val="right"/>
            </w:pPr>
            <w:r>
              <w:rPr>
                <w:sz w:val="17"/>
              </w:rPr>
              <w:t>146.5</w:t>
            </w:r>
          </w:p>
        </w:tc>
        <w:tc>
          <w:tcPr>
            <w:tcW w:type="dxa" w:w="843"/>
          </w:tcPr>
          <w:p>
            <w:pPr>
              <w:spacing w:after="0"/>
            </w:pPr>
            <w:r>
              <w:rPr>
                <w:sz w:val="17"/>
              </w:rPr>
            </w:r>
          </w:p>
        </w:tc>
        <w:tc>
          <w:tcPr>
            <w:tcW w:type="dxa" w:w="3423"/>
          </w:tcPr>
          <w:p>
            <w:pPr>
              <w:spacing w:after="0"/>
            </w:pPr>
            <w:r>
              <w:rPr>
                <w:sz w:val="17"/>
              </w:rPr>
            </w:r>
          </w:p>
        </w:tc>
      </w:tr>
    </w:tbl>
    <w:p/>
    <w:p>
      <w:r>
        <w:t>Study fee 0.20% of the increase of SAR 45.0m (SAR 90,000); documentation fee SAR 5,000. Murabaha and trust receipts at 3M SAIBOR + 1.75% (floor 5.75%), unchanged; Al Rimal Commercial Bank prices its Murabaha at 3M SAIBOR + 1.90% (offer letter ARCB/RUH/26/118 of 10/02/2026).</w:t>
      </w:r>
    </w:p>
    <w:p>
      <w:pPr>
        <w:spacing w:before="160"/>
      </w:pPr>
      <w:r>
        <w:rPr>
          <w:b/>
          <w:color w:val="1D3557"/>
          <w:sz w:val="22"/>
        </w:rPr>
        <w:t>3. Security and support</w:t>
      </w:r>
    </w:p>
    <w:p>
      <w:pPr>
        <w:pStyle w:val="ListBullet"/>
      </w:pPr>
      <w:r>
        <w:t>Working-capital limits (SAR 140.0m): personal guarantees of Fahad Saad Al-Naseem (net worth SAR 121.2m, statement 31/08/2026) and Majed Saad Al-Naseem (SAR 48.1m, 31/08/2026) — existing; corporate guarantee of Naseem Holding Co. — existing; promissory note SAR 146.5m (new, replacing SAR 101.5m).</w:t>
      </w:r>
    </w:p>
    <w:p>
      <w:pPr>
        <w:pStyle w:val="ListBullet"/>
      </w:pPr>
      <w:r>
        <w:t>Letters of credit and guarantee: cash margin 10%; LCs issued to the order of the Bank, goods insured with the Bank as loss payee — existing.</w:t>
      </w:r>
    </w:p>
    <w:p>
      <w:pPr>
        <w:pStyle w:val="ListBullet"/>
      </w:pPr>
      <w:r>
        <w:t>Warehouse term loan (SAR 6.5m) and all limits: first-degree mortgage over the warehouse, plot 18/4, Second Industrial City, Riyadh (deed 310118004427; market value SAR 31.5m, forced-sale value SAR 24.0m, valuation 14/08/2025); insurance SAR 28.0m to 28/02/2027, the Bank loss payee — existing.</w:t>
      </w:r>
    </w:p>
    <w:p>
      <w:pPr>
        <w:spacing w:before="160"/>
      </w:pPr>
      <w:r>
        <w:rPr>
          <w:b/>
          <w:color w:val="1D3557"/>
          <w:sz w:val="22"/>
        </w:rPr>
        <w:t>4. Terms and conditions</w:t>
      </w:r>
    </w:p>
    <w:p>
      <w:pPr>
        <w:spacing w:after="40"/>
        <w:ind w:left="340" w:hanging="283"/>
      </w:pPr>
      <w:r>
        <w:t>1. Working-capital limits: Murabaha drawn against invoices of hospitals and clinics, each draw up to 120 days; no draw against invoices of related parties.</w:t>
      </w:r>
    </w:p>
    <w:p>
      <w:pPr>
        <w:spacing w:after="40"/>
        <w:ind w:left="340" w:hanging="283"/>
      </w:pPr>
      <w:r>
        <w:t>2. Working-capital limits: trust receipts settled from the sale proceeds of the financed goods, maximum 120 days.</w:t>
      </w:r>
    </w:p>
    <w:p>
      <w:pPr>
        <w:spacing w:after="40"/>
        <w:ind w:left="340" w:hanging="283"/>
      </w:pPr>
      <w:r>
        <w:t>3. Letters of credit: for imports of medical goods from the suppliers on the approved list; usance up to 90 days.</w:t>
      </w:r>
    </w:p>
    <w:p>
      <w:pPr>
        <w:spacing w:after="40"/>
        <w:ind w:left="340" w:hanging="283"/>
      </w:pPr>
      <w:r>
        <w:t>4. All limits: route not less than 75% of turnover through the Bank (12 months to 30/09/2026: 82% of the receipts of both banks).</w:t>
      </w:r>
    </w:p>
    <w:p>
      <w:pPr>
        <w:spacing w:after="40"/>
        <w:ind w:left="340" w:hanging="283"/>
      </w:pPr>
      <w:r>
        <w:t>5. All limits: audited financial statements within 120 days of year end; quarterly receivables ageing within 30 days of quarter end.</w:t>
      </w:r>
    </w:p>
    <w:p>
      <w:pPr>
        <w:spacing w:after="40"/>
        <w:ind w:left="340" w:hanging="283"/>
      </w:pPr>
      <w:r>
        <w:t>6. Status of existing conditions (CC/2025/031): 1 routing — complied; 2 audited FS — complied (FY2025 signed 21/04/2026); 3 quarterly ageing — complied; 4 inform the Bank of new related-party trading — not complied; 5 annual warehouse valuation — not complied (last 14/08/2025).</w:t>
      </w:r>
    </w:p>
    <w:p>
      <w:pPr>
        <w:spacing w:before="160"/>
      </w:pPr>
      <w:r>
        <w:rPr>
          <w:b/>
          <w:color w:val="1D3557"/>
          <w:sz w:val="22"/>
        </w:rPr>
        <w:t>5. Group exposure</w:t>
      </w:r>
    </w:p>
    <w:tbl>
      <w:tblPr>
        <w:tblStyle w:val="TableGrid"/>
        <w:tblW w:type="auto" w:w="0"/>
        <w:jc w:val="center"/>
        <w:tblLayout w:type="fixed"/>
        <w:tblLook w:firstColumn="1" w:firstRow="1" w:lastColumn="0" w:lastRow="0" w:noHBand="0" w:noVBand="1" w:val="04A0"/>
      </w:tblPr>
      <w:tblGrid>
        <w:gridCol w:w="2976"/>
        <w:gridCol w:w="1389"/>
        <w:gridCol w:w="1389"/>
        <w:gridCol w:w="1389"/>
        <w:gridCol w:w="1389"/>
        <w:gridCol w:w="1389"/>
      </w:tblGrid>
      <w:tr>
        <w:tc>
          <w:tcPr>
            <w:tcW w:type="dxa" w:w="2976"/>
            <w:shd w:val="clear" w:color="auto" w:fill="e9e6df"/>
          </w:tcPr>
          <w:p>
            <w:pPr>
              <w:spacing w:after="0"/>
            </w:pPr>
            <w:r>
              <w:rPr>
                <w:b/>
                <w:sz w:val="17"/>
              </w:rPr>
              <w:t>Entity</w:t>
            </w:r>
          </w:p>
        </w:tc>
        <w:tc>
          <w:tcPr>
            <w:tcW w:type="dxa" w:w="1389"/>
            <w:shd w:val="clear" w:color="auto" w:fill="e9e6df"/>
          </w:tcPr>
          <w:p>
            <w:pPr>
              <w:spacing w:after="0"/>
            </w:pPr>
            <w:r>
              <w:rPr>
                <w:b/>
                <w:sz w:val="17"/>
              </w:rPr>
              <w:t>Funded existing</w:t>
            </w:r>
          </w:p>
        </w:tc>
        <w:tc>
          <w:tcPr>
            <w:tcW w:type="dxa" w:w="1389"/>
            <w:shd w:val="clear" w:color="auto" w:fill="e9e6df"/>
          </w:tcPr>
          <w:p>
            <w:pPr>
              <w:spacing w:after="0"/>
            </w:pPr>
            <w:r>
              <w:rPr>
                <w:b/>
                <w:sz w:val="17"/>
              </w:rPr>
              <w:t>Total existing</w:t>
            </w:r>
          </w:p>
        </w:tc>
        <w:tc>
          <w:tcPr>
            <w:tcW w:type="dxa" w:w="1389"/>
            <w:shd w:val="clear" w:color="auto" w:fill="e9e6df"/>
          </w:tcPr>
          <w:p>
            <w:pPr>
              <w:spacing w:after="0"/>
            </w:pPr>
            <w:r>
              <w:rPr>
                <w:b/>
                <w:sz w:val="17"/>
              </w:rPr>
              <w:t>Funded proposed</w:t>
            </w:r>
          </w:p>
        </w:tc>
        <w:tc>
          <w:tcPr>
            <w:tcW w:type="dxa" w:w="1389"/>
            <w:shd w:val="clear" w:color="auto" w:fill="e9e6df"/>
          </w:tcPr>
          <w:p>
            <w:pPr>
              <w:spacing w:after="0"/>
            </w:pPr>
            <w:r>
              <w:rPr>
                <w:b/>
                <w:sz w:val="17"/>
              </w:rPr>
              <w:t>Total proposed</w:t>
            </w:r>
          </w:p>
        </w:tc>
        <w:tc>
          <w:tcPr>
            <w:tcW w:type="dxa" w:w="1389"/>
            <w:shd w:val="clear" w:color="auto" w:fill="e9e6df"/>
          </w:tcPr>
          <w:p>
            <w:pPr>
              <w:spacing w:after="0"/>
            </w:pPr>
            <w:r>
              <w:rPr>
                <w:b/>
                <w:sz w:val="17"/>
              </w:rPr>
              <w:t>Outstanding</w:t>
            </w:r>
          </w:p>
        </w:tc>
      </w:tr>
      <w:tr>
        <w:tc>
          <w:tcPr>
            <w:tcW w:type="dxa" w:w="2976"/>
          </w:tcPr>
          <w:p>
            <w:pPr>
              <w:spacing w:after="0"/>
            </w:pPr>
            <w:r>
              <w:rPr>
                <w:sz w:val="17"/>
              </w:rPr>
              <w:t>Dar Al Naseem Medical Supplies Co.</w:t>
            </w:r>
          </w:p>
        </w:tc>
        <w:tc>
          <w:tcPr>
            <w:tcW w:type="dxa" w:w="1389"/>
          </w:tcPr>
          <w:p>
            <w:pPr>
              <w:spacing w:after="0"/>
              <w:jc w:val="right"/>
            </w:pPr>
            <w:r>
              <w:rPr>
                <w:sz w:val="17"/>
              </w:rPr>
              <w:t>61.5</w:t>
            </w:r>
          </w:p>
        </w:tc>
        <w:tc>
          <w:tcPr>
            <w:tcW w:type="dxa" w:w="1389"/>
          </w:tcPr>
          <w:p>
            <w:pPr>
              <w:spacing w:after="0"/>
              <w:jc w:val="right"/>
            </w:pPr>
            <w:r>
              <w:rPr>
                <w:sz w:val="17"/>
              </w:rPr>
              <w:t>101.5</w:t>
            </w:r>
          </w:p>
        </w:tc>
        <w:tc>
          <w:tcPr>
            <w:tcW w:type="dxa" w:w="1389"/>
          </w:tcPr>
          <w:p>
            <w:pPr>
              <w:spacing w:after="0"/>
              <w:jc w:val="right"/>
            </w:pPr>
            <w:r>
              <w:rPr>
                <w:sz w:val="17"/>
              </w:rPr>
              <w:t>96.5</w:t>
            </w:r>
          </w:p>
        </w:tc>
        <w:tc>
          <w:tcPr>
            <w:tcW w:type="dxa" w:w="1389"/>
          </w:tcPr>
          <w:p>
            <w:pPr>
              <w:spacing w:after="0"/>
              <w:jc w:val="right"/>
            </w:pPr>
            <w:r>
              <w:rPr>
                <w:sz w:val="17"/>
              </w:rPr>
              <w:t>146.5</w:t>
            </w:r>
          </w:p>
        </w:tc>
        <w:tc>
          <w:tcPr>
            <w:tcW w:type="dxa" w:w="1389"/>
          </w:tcPr>
          <w:p>
            <w:pPr>
              <w:spacing w:after="0"/>
              <w:jc w:val="right"/>
            </w:pPr>
            <w:r>
              <w:rPr>
                <w:sz w:val="17"/>
              </w:rPr>
              <w:t>82.4</w:t>
            </w:r>
          </w:p>
        </w:tc>
      </w:tr>
      <w:tr>
        <w:tc>
          <w:tcPr>
            <w:tcW w:type="dxa" w:w="2976"/>
          </w:tcPr>
          <w:p>
            <w:pPr>
              <w:spacing w:after="0"/>
            </w:pPr>
            <w:r>
              <w:rPr>
                <w:sz w:val="17"/>
              </w:rPr>
              <w:t>Naseem Lab Systems Co.</w:t>
            </w:r>
          </w:p>
        </w:tc>
        <w:tc>
          <w:tcPr>
            <w:tcW w:type="dxa" w:w="1389"/>
          </w:tcPr>
          <w:p>
            <w:pPr>
              <w:spacing w:after="0"/>
              <w:jc w:val="right"/>
            </w:pPr>
            <w:r>
              <w:rPr>
                <w:sz w:val="17"/>
              </w:rPr>
              <w:t>0.0</w:t>
            </w:r>
          </w:p>
        </w:tc>
        <w:tc>
          <w:tcPr>
            <w:tcW w:type="dxa" w:w="1389"/>
          </w:tcPr>
          <w:p>
            <w:pPr>
              <w:spacing w:after="0"/>
              <w:jc w:val="right"/>
            </w:pPr>
            <w:r>
              <w:rPr>
                <w:sz w:val="17"/>
              </w:rPr>
              <w:t>5.0</w:t>
            </w:r>
          </w:p>
        </w:tc>
        <w:tc>
          <w:tcPr>
            <w:tcW w:type="dxa" w:w="1389"/>
          </w:tcPr>
          <w:p>
            <w:pPr>
              <w:spacing w:after="0"/>
              <w:jc w:val="right"/>
            </w:pPr>
            <w:r>
              <w:rPr>
                <w:sz w:val="17"/>
              </w:rPr>
              <w:t>0.0</w:t>
            </w:r>
          </w:p>
        </w:tc>
        <w:tc>
          <w:tcPr>
            <w:tcW w:type="dxa" w:w="1389"/>
          </w:tcPr>
          <w:p>
            <w:pPr>
              <w:spacing w:after="0"/>
              <w:jc w:val="right"/>
            </w:pPr>
            <w:r>
              <w:rPr>
                <w:sz w:val="17"/>
              </w:rPr>
              <w:t>5.0</w:t>
            </w:r>
          </w:p>
        </w:tc>
        <w:tc>
          <w:tcPr>
            <w:tcW w:type="dxa" w:w="1389"/>
          </w:tcPr>
          <w:p>
            <w:pPr>
              <w:spacing w:after="0"/>
              <w:jc w:val="right"/>
            </w:pPr>
            <w:r>
              <w:rPr>
                <w:sz w:val="17"/>
              </w:rPr>
              <w:t>4.2</w:t>
            </w:r>
          </w:p>
        </w:tc>
      </w:tr>
      <w:tr>
        <w:tc>
          <w:tcPr>
            <w:tcW w:type="dxa" w:w="2976"/>
          </w:tcPr>
          <w:p>
            <w:pPr>
              <w:spacing w:after="0"/>
            </w:pPr>
            <w:r>
              <w:rPr>
                <w:sz w:val="17"/>
              </w:rPr>
              <w:t>Naseem Holding Co.</w:t>
            </w:r>
          </w:p>
        </w:tc>
        <w:tc>
          <w:tcPr>
            <w:tcW w:type="dxa" w:w="1389"/>
          </w:tcPr>
          <w:p>
            <w:pPr>
              <w:spacing w:after="0"/>
              <w:jc w:val="right"/>
            </w:pPr>
            <w:r>
              <w:rPr>
                <w:sz w:val="17"/>
              </w:rPr>
              <w:t>0.0</w:t>
            </w:r>
          </w:p>
        </w:tc>
        <w:tc>
          <w:tcPr>
            <w:tcW w:type="dxa" w:w="1389"/>
          </w:tcPr>
          <w:p>
            <w:pPr>
              <w:spacing w:after="0"/>
              <w:jc w:val="right"/>
            </w:pPr>
            <w:r>
              <w:rPr>
                <w:sz w:val="17"/>
              </w:rPr>
              <w:t>0.0</w:t>
            </w:r>
          </w:p>
        </w:tc>
        <w:tc>
          <w:tcPr>
            <w:tcW w:type="dxa" w:w="1389"/>
          </w:tcPr>
          <w:p>
            <w:pPr>
              <w:spacing w:after="0"/>
              <w:jc w:val="right"/>
            </w:pPr>
            <w:r>
              <w:rPr>
                <w:sz w:val="17"/>
              </w:rPr>
              <w:t>0.0</w:t>
            </w:r>
          </w:p>
        </w:tc>
        <w:tc>
          <w:tcPr>
            <w:tcW w:type="dxa" w:w="1389"/>
          </w:tcPr>
          <w:p>
            <w:pPr>
              <w:spacing w:after="0"/>
              <w:jc w:val="right"/>
            </w:pPr>
            <w:r>
              <w:rPr>
                <w:sz w:val="17"/>
              </w:rPr>
              <w:t>0.0</w:t>
            </w:r>
          </w:p>
        </w:tc>
        <w:tc>
          <w:tcPr>
            <w:tcW w:type="dxa" w:w="1389"/>
          </w:tcPr>
          <w:p>
            <w:pPr>
              <w:spacing w:after="0"/>
              <w:jc w:val="right"/>
            </w:pPr>
            <w:r>
              <w:rPr>
                <w:sz w:val="17"/>
              </w:rPr>
              <w:t>0.0</w:t>
            </w:r>
          </w:p>
        </w:tc>
      </w:tr>
      <w:tr>
        <w:tc>
          <w:tcPr>
            <w:tcW w:type="dxa" w:w="2976"/>
          </w:tcPr>
          <w:p>
            <w:pPr>
              <w:spacing w:after="0"/>
            </w:pPr>
            <w:r>
              <w:rPr>
                <w:sz w:val="17"/>
              </w:rPr>
              <w:t>Group total</w:t>
            </w:r>
          </w:p>
        </w:tc>
        <w:tc>
          <w:tcPr>
            <w:tcW w:type="dxa" w:w="1389"/>
          </w:tcPr>
          <w:p>
            <w:pPr>
              <w:spacing w:after="0"/>
              <w:jc w:val="right"/>
            </w:pPr>
            <w:r>
              <w:rPr>
                <w:sz w:val="17"/>
              </w:rPr>
              <w:t>61.5</w:t>
            </w:r>
          </w:p>
        </w:tc>
        <w:tc>
          <w:tcPr>
            <w:tcW w:type="dxa" w:w="1389"/>
          </w:tcPr>
          <w:p>
            <w:pPr>
              <w:spacing w:after="0"/>
              <w:jc w:val="right"/>
            </w:pPr>
            <w:r>
              <w:rPr>
                <w:sz w:val="17"/>
              </w:rPr>
              <w:t>106.5</w:t>
            </w:r>
          </w:p>
        </w:tc>
        <w:tc>
          <w:tcPr>
            <w:tcW w:type="dxa" w:w="1389"/>
          </w:tcPr>
          <w:p>
            <w:pPr>
              <w:spacing w:after="0"/>
              <w:jc w:val="right"/>
            </w:pPr>
            <w:r>
              <w:rPr>
                <w:sz w:val="17"/>
              </w:rPr>
              <w:t>96.5</w:t>
            </w:r>
          </w:p>
        </w:tc>
        <w:tc>
          <w:tcPr>
            <w:tcW w:type="dxa" w:w="1389"/>
          </w:tcPr>
          <w:p>
            <w:pPr>
              <w:spacing w:after="0"/>
              <w:jc w:val="right"/>
            </w:pPr>
            <w:r>
              <w:rPr>
                <w:sz w:val="17"/>
              </w:rPr>
              <w:t>151.5</w:t>
            </w:r>
          </w:p>
        </w:tc>
        <w:tc>
          <w:tcPr>
            <w:tcW w:type="dxa" w:w="1389"/>
          </w:tcPr>
          <w:p>
            <w:pPr>
              <w:spacing w:after="0"/>
              <w:jc w:val="right"/>
            </w:pPr>
            <w:r>
              <w:rPr>
                <w:sz w:val="17"/>
              </w:rPr>
              <w:t>86.6</w:t>
            </w:r>
          </w:p>
        </w:tc>
      </w:tr>
    </w:tbl>
    <w:p/>
    <w:p>
      <w:r>
        <w:t>References: CC/2017/052 (25/04/2017, SAR 35m), CC/2021/163 (30/09/2021, SAR 70m, cap 80m), CC/2025/031 (20/02/2025, SAR 95m, cap 110m); credit file request CFR/RUH/2026/0612 dated 13/10/2026.</w:t>
      </w:r>
    </w:p>
    <w:p>
      <w:pPr>
        <w:spacing w:before="160"/>
      </w:pPr>
      <w:r>
        <w:rPr>
          <w:b/>
          <w:color w:val="1D3557"/>
          <w:sz w:val="22"/>
        </w:rPr>
        <w:t>6. Background</w:t>
      </w:r>
    </w:p>
    <w:p>
      <w:r>
        <w:t>Dar Al Naseem Medical Supplies Co. (CR 1010384527, Riyadh), incorporated 15/02/2009, LLC, capital SAR 30.0m; 80% Naseem Holding Co. (Fahad Saad Al-Naseem 60%, Majed Saad Al-Naseem 40%), 20% Fahad Saad Al-Naseem. Imports and distributes medical consumables, hospital equipment and laboratory supplies to government and private hospitals; staff 214, of whom 58 Saudi (Nitaqat Medium Green, 27.1% vs 21.0% minimum).</w:t>
      </w:r>
    </w:p>
    <w:p>
      <w:r>
        <w:t>Since 02/2025 a regional distributor, Al Tayf Healthcare Trading Est., covers the Eastern and Southern regions on 120-day terms (31.0% of FY2025 sales; as per business, a third-party distributor). Group: Naseem Holding Co. (parent), Naseem Lab Systems Co. (sister, laboratory equipment servicing). Sales FY2025: government hospitals 18.4%, private hospitals and clinics 50.6%; purchases: Nordmed Instruments GmbH, Germany 26.9% (LC 90 days usance), Pacific Rim Medical Consumables Ltd, Malaysia 19.6% (LC at sight), Gulf Surgical Supplies Co., KSA 11.2% (45 days).</w:t>
      </w:r>
    </w:p>
    <w:tbl>
      <w:tblPr>
        <w:tblStyle w:val="TableGrid"/>
        <w:tblW w:type="auto" w:w="0"/>
        <w:jc w:val="center"/>
        <w:tblLayout w:type="fixed"/>
        <w:tblLook w:firstColumn="1" w:firstRow="1" w:lastColumn="0" w:lastRow="0" w:noHBand="0" w:noVBand="1" w:val="04A0"/>
      </w:tblPr>
      <w:tblGrid>
        <w:gridCol w:w="3969"/>
        <w:gridCol w:w="1191"/>
        <w:gridCol w:w="1587"/>
        <w:gridCol w:w="1587"/>
        <w:gridCol w:w="1587"/>
      </w:tblGrid>
      <w:tr>
        <w:tc>
          <w:tcPr>
            <w:tcW w:type="dxa" w:w="3969"/>
            <w:shd w:val="clear" w:color="auto" w:fill="e9e6df"/>
          </w:tcPr>
          <w:p>
            <w:pPr>
              <w:spacing w:after="0"/>
            </w:pPr>
            <w:r>
              <w:rPr>
                <w:b/>
                <w:sz w:val="17"/>
              </w:rPr>
              <w:t>Shareholder</w:t>
            </w:r>
          </w:p>
        </w:tc>
        <w:tc>
          <w:tcPr>
            <w:tcW w:type="dxa" w:w="1191"/>
            <w:shd w:val="clear" w:color="auto" w:fill="e9e6df"/>
          </w:tcPr>
          <w:p>
            <w:pPr>
              <w:spacing w:after="0"/>
            </w:pPr>
            <w:r>
              <w:rPr>
                <w:b/>
                <w:sz w:val="17"/>
              </w:rPr>
              <w:t>Born</w:t>
            </w:r>
          </w:p>
        </w:tc>
        <w:tc>
          <w:tcPr>
            <w:tcW w:type="dxa" w:w="1587"/>
            <w:shd w:val="clear" w:color="auto" w:fill="e9e6df"/>
          </w:tcPr>
          <w:p>
            <w:pPr>
              <w:spacing w:after="0"/>
            </w:pPr>
            <w:r>
              <w:rPr>
                <w:b/>
                <w:sz w:val="17"/>
              </w:rPr>
              <w:t>Nationality</w:t>
            </w:r>
          </w:p>
        </w:tc>
        <w:tc>
          <w:tcPr>
            <w:tcW w:type="dxa" w:w="1587"/>
            <w:shd w:val="clear" w:color="auto" w:fill="e9e6df"/>
          </w:tcPr>
          <w:p>
            <w:pPr>
              <w:spacing w:after="0"/>
            </w:pPr>
            <w:r>
              <w:rPr>
                <w:b/>
                <w:sz w:val="17"/>
              </w:rPr>
              <w:t>Share</w:t>
            </w:r>
          </w:p>
        </w:tc>
        <w:tc>
          <w:tcPr>
            <w:tcW w:type="dxa" w:w="1587"/>
            <w:shd w:val="clear" w:color="auto" w:fill="e9e6df"/>
          </w:tcPr>
          <w:p>
            <w:pPr>
              <w:spacing w:after="0"/>
            </w:pPr>
            <w:r>
              <w:rPr>
                <w:b/>
                <w:sz w:val="17"/>
              </w:rPr>
              <w:t>UBO</w:t>
            </w:r>
          </w:p>
        </w:tc>
      </w:tr>
      <w:tr>
        <w:tc>
          <w:tcPr>
            <w:tcW w:type="dxa" w:w="3969"/>
          </w:tcPr>
          <w:p>
            <w:pPr>
              <w:spacing w:after="0"/>
            </w:pPr>
            <w:r>
              <w:rPr>
                <w:sz w:val="17"/>
              </w:rPr>
              <w:t>Naseem Holding Co.</w:t>
            </w:r>
          </w:p>
        </w:tc>
        <w:tc>
          <w:tcPr>
            <w:tcW w:type="dxa" w:w="1191"/>
          </w:tcPr>
          <w:p>
            <w:pPr>
              <w:spacing w:after="0"/>
            </w:pPr>
            <w:r>
              <w:rPr>
                <w:sz w:val="17"/>
              </w:rPr>
              <w:t>—</w:t>
            </w:r>
          </w:p>
        </w:tc>
        <w:tc>
          <w:tcPr>
            <w:tcW w:type="dxa" w:w="1587"/>
          </w:tcPr>
          <w:p>
            <w:pPr>
              <w:spacing w:after="0"/>
            </w:pPr>
            <w:r>
              <w:rPr>
                <w:sz w:val="17"/>
              </w:rPr>
              <w:t>Saudi company</w:t>
            </w:r>
          </w:p>
        </w:tc>
        <w:tc>
          <w:tcPr>
            <w:tcW w:type="dxa" w:w="1587"/>
          </w:tcPr>
          <w:p>
            <w:pPr>
              <w:spacing w:after="0"/>
              <w:jc w:val="right"/>
            </w:pPr>
            <w:r>
              <w:rPr>
                <w:sz w:val="17"/>
              </w:rPr>
              <w:t>80.0%</w:t>
            </w:r>
          </w:p>
        </w:tc>
        <w:tc>
          <w:tcPr>
            <w:tcW w:type="dxa" w:w="1587"/>
          </w:tcPr>
          <w:p>
            <w:pPr>
              <w:spacing w:after="0"/>
            </w:pPr>
            <w:r>
              <w:rPr>
                <w:sz w:val="17"/>
              </w:rPr>
              <w:t>—</w:t>
            </w:r>
          </w:p>
        </w:tc>
      </w:tr>
      <w:tr>
        <w:tc>
          <w:tcPr>
            <w:tcW w:type="dxa" w:w="3969"/>
          </w:tcPr>
          <w:p>
            <w:pPr>
              <w:spacing w:after="0"/>
            </w:pPr>
            <w:r>
              <w:rPr>
                <w:sz w:val="17"/>
              </w:rPr>
              <w:t>Fahad Saad Al-Naseem (Chairman and GM)</w:t>
            </w:r>
          </w:p>
        </w:tc>
        <w:tc>
          <w:tcPr>
            <w:tcW w:type="dxa" w:w="1191"/>
          </w:tcPr>
          <w:p>
            <w:pPr>
              <w:spacing w:after="0"/>
              <w:jc w:val="right"/>
            </w:pPr>
            <w:r>
              <w:rPr>
                <w:sz w:val="17"/>
              </w:rPr>
              <w:t>1965</w:t>
            </w:r>
          </w:p>
        </w:tc>
        <w:tc>
          <w:tcPr>
            <w:tcW w:type="dxa" w:w="1587"/>
          </w:tcPr>
          <w:p>
            <w:pPr>
              <w:spacing w:after="0"/>
            </w:pPr>
            <w:r>
              <w:rPr>
                <w:sz w:val="17"/>
              </w:rPr>
              <w:t>Saudi</w:t>
            </w:r>
          </w:p>
        </w:tc>
        <w:tc>
          <w:tcPr>
            <w:tcW w:type="dxa" w:w="1587"/>
          </w:tcPr>
          <w:p>
            <w:pPr>
              <w:spacing w:after="0"/>
            </w:pPr>
            <w:r>
              <w:rPr>
                <w:sz w:val="17"/>
              </w:rPr>
              <w:t>20.0% (68% look-through)</w:t>
            </w:r>
          </w:p>
        </w:tc>
        <w:tc>
          <w:tcPr>
            <w:tcW w:type="dxa" w:w="1587"/>
          </w:tcPr>
          <w:p>
            <w:pPr>
              <w:spacing w:after="0"/>
            </w:pPr>
            <w:r>
              <w:rPr>
                <w:sz w:val="17"/>
              </w:rPr>
              <w:t>Yes</w:t>
            </w:r>
          </w:p>
        </w:tc>
      </w:tr>
      <w:tr>
        <w:tc>
          <w:tcPr>
            <w:tcW w:type="dxa" w:w="3969"/>
          </w:tcPr>
          <w:p>
            <w:pPr>
              <w:spacing w:after="0"/>
            </w:pPr>
            <w:r>
              <w:rPr>
                <w:sz w:val="17"/>
              </w:rPr>
              <w:t>Majed Saad Al-Naseem (Director, via holding)</w:t>
            </w:r>
          </w:p>
        </w:tc>
        <w:tc>
          <w:tcPr>
            <w:tcW w:type="dxa" w:w="1191"/>
          </w:tcPr>
          <w:p>
            <w:pPr>
              <w:spacing w:after="0"/>
              <w:jc w:val="right"/>
            </w:pPr>
            <w:r>
              <w:rPr>
                <w:sz w:val="17"/>
              </w:rPr>
              <w:t>1969</w:t>
            </w:r>
          </w:p>
        </w:tc>
        <w:tc>
          <w:tcPr>
            <w:tcW w:type="dxa" w:w="1587"/>
          </w:tcPr>
          <w:p>
            <w:pPr>
              <w:spacing w:after="0"/>
            </w:pPr>
            <w:r>
              <w:rPr>
                <w:sz w:val="17"/>
              </w:rPr>
              <w:t>Saudi</w:t>
            </w:r>
          </w:p>
        </w:tc>
        <w:tc>
          <w:tcPr>
            <w:tcW w:type="dxa" w:w="1587"/>
          </w:tcPr>
          <w:p>
            <w:pPr>
              <w:spacing w:after="0"/>
            </w:pPr>
            <w:r>
              <w:rPr>
                <w:sz w:val="17"/>
              </w:rPr>
              <w:t>32% look-through</w:t>
            </w:r>
          </w:p>
        </w:tc>
        <w:tc>
          <w:tcPr>
            <w:tcW w:type="dxa" w:w="1587"/>
          </w:tcPr>
          <w:p>
            <w:pPr>
              <w:spacing w:after="0"/>
            </w:pPr>
            <w:r>
              <w:rPr>
                <w:sz w:val="17"/>
              </w:rPr>
              <w:t>Yes</w:t>
            </w:r>
          </w:p>
        </w:tc>
      </w:tr>
    </w:tbl>
    <w:p/>
    <w:p>
      <w:pPr>
        <w:spacing w:before="160"/>
      </w:pPr>
      <w:r>
        <w:rPr>
          <w:b/>
          <w:color w:val="1D3557"/>
          <w:sz w:val="22"/>
        </w:rPr>
        <w:t>7. Relationship with the Bank</w:t>
      </w:r>
    </w:p>
    <w:p>
      <w:r>
        <w:t>Customer since 02/05/2017. Credit turnover in the main account SAR 206.7m in the 12 months to 30/09/2026 (routing about 82%); utilisation SAR 75.9m of SAR 95.0m (80%) at 30/09/2026 (Murabaha 99%, trust receipts 99%, LCs 61%, LGs 31%); no past dues in the last 12 months; one cheque returned in 02/2026 (signature mismatch, regularised the same week).</w:t>
      </w:r>
    </w:p>
    <w:p>
      <w:r>
        <w:t>Limit history: SAR 35m (2017), SAR 70m (2021), SAR 95m (2025).</w:t>
      </w:r>
    </w:p>
    <w:tbl>
      <w:tblPr>
        <w:tblStyle w:val="TableGrid"/>
        <w:tblW w:type="auto" w:w="0"/>
        <w:jc w:val="center"/>
        <w:tblLayout w:type="fixed"/>
        <w:tblLook w:firstColumn="1" w:firstRow="1" w:lastColumn="0" w:lastRow="0" w:noHBand="0" w:noVBand="1" w:val="04A0"/>
      </w:tblPr>
      <w:tblGrid>
        <w:gridCol w:w="1587"/>
        <w:gridCol w:w="1687"/>
        <w:gridCol w:w="1687"/>
        <w:gridCol w:w="1687"/>
        <w:gridCol w:w="1587"/>
        <w:gridCol w:w="1687"/>
      </w:tblGrid>
      <w:tr>
        <w:tc>
          <w:tcPr>
            <w:tcW w:type="dxa" w:w="1587"/>
            <w:shd w:val="clear" w:color="auto" w:fill="e9e6df"/>
          </w:tcPr>
          <w:p>
            <w:pPr>
              <w:spacing w:after="0"/>
            </w:pPr>
            <w:r>
              <w:rPr>
                <w:b/>
                <w:sz w:val="17"/>
              </w:rPr>
              <w:t>Quarter</w:t>
            </w:r>
          </w:p>
        </w:tc>
        <w:tc>
          <w:tcPr>
            <w:tcW w:type="dxa" w:w="1687"/>
            <w:shd w:val="clear" w:color="auto" w:fill="e9e6df"/>
          </w:tcPr>
          <w:p>
            <w:pPr>
              <w:spacing w:after="0"/>
            </w:pPr>
            <w:r>
              <w:rPr>
                <w:b/>
                <w:sz w:val="17"/>
              </w:rPr>
              <w:t>Credit turnover</w:t>
            </w:r>
          </w:p>
        </w:tc>
        <w:tc>
          <w:tcPr>
            <w:tcW w:type="dxa" w:w="1687"/>
            <w:shd w:val="clear" w:color="auto" w:fill="e9e6df"/>
          </w:tcPr>
          <w:p>
            <w:pPr>
              <w:spacing w:after="0"/>
            </w:pPr>
            <w:r>
              <w:rPr>
                <w:b/>
                <w:sz w:val="17"/>
              </w:rPr>
              <w:t>Average balance</w:t>
            </w:r>
          </w:p>
        </w:tc>
        <w:tc>
          <w:tcPr>
            <w:tcW w:type="dxa" w:w="1687"/>
            <w:shd w:val="clear" w:color="auto" w:fill="e9e6df"/>
          </w:tcPr>
          <w:p>
            <w:pPr>
              <w:spacing w:after="0"/>
            </w:pPr>
            <w:r>
              <w:rPr>
                <w:b/>
                <w:sz w:val="17"/>
              </w:rPr>
              <w:t>Average utilisation</w:t>
            </w:r>
          </w:p>
        </w:tc>
        <w:tc>
          <w:tcPr>
            <w:tcW w:type="dxa" w:w="1587"/>
            <w:shd w:val="clear" w:color="auto" w:fill="e9e6df"/>
          </w:tcPr>
          <w:p>
            <w:pPr>
              <w:spacing w:after="0"/>
            </w:pPr>
            <w:r>
              <w:rPr>
                <w:b/>
                <w:sz w:val="17"/>
              </w:rPr>
              <w:t>Past dues</w:t>
            </w:r>
          </w:p>
        </w:tc>
        <w:tc>
          <w:tcPr>
            <w:tcW w:type="dxa" w:w="1687"/>
            <w:shd w:val="clear" w:color="auto" w:fill="e9e6df"/>
          </w:tcPr>
          <w:p>
            <w:pPr>
              <w:spacing w:after="0"/>
            </w:pPr>
            <w:r>
              <w:rPr>
                <w:b/>
                <w:sz w:val="17"/>
              </w:rPr>
              <w:t>Returned cheques</w:t>
            </w:r>
          </w:p>
        </w:tc>
      </w:tr>
      <w:tr>
        <w:tc>
          <w:tcPr>
            <w:tcW w:type="dxa" w:w="1587"/>
          </w:tcPr>
          <w:p>
            <w:pPr>
              <w:spacing w:after="0"/>
            </w:pPr>
            <w:r>
              <w:rPr>
                <w:sz w:val="17"/>
              </w:rPr>
              <w:t>Q4 2025</w:t>
            </w:r>
          </w:p>
        </w:tc>
        <w:tc>
          <w:tcPr>
            <w:tcW w:type="dxa" w:w="1687"/>
          </w:tcPr>
          <w:p>
            <w:pPr>
              <w:spacing w:after="0"/>
              <w:jc w:val="right"/>
            </w:pPr>
            <w:r>
              <w:rPr>
                <w:sz w:val="17"/>
              </w:rPr>
              <w:t>47.7</w:t>
            </w:r>
          </w:p>
        </w:tc>
        <w:tc>
          <w:tcPr>
            <w:tcW w:type="dxa" w:w="1687"/>
          </w:tcPr>
          <w:p>
            <w:pPr>
              <w:spacing w:after="0"/>
              <w:jc w:val="right"/>
            </w:pPr>
            <w:r>
              <w:rPr>
                <w:sz w:val="17"/>
              </w:rPr>
              <w:t>5.3</w:t>
            </w:r>
          </w:p>
        </w:tc>
        <w:tc>
          <w:tcPr>
            <w:tcW w:type="dxa" w:w="1687"/>
          </w:tcPr>
          <w:p>
            <w:pPr>
              <w:spacing w:after="0"/>
              <w:jc w:val="right"/>
            </w:pPr>
            <w:r>
              <w:rPr>
                <w:sz w:val="17"/>
              </w:rPr>
              <w:t>78%</w:t>
            </w:r>
          </w:p>
        </w:tc>
        <w:tc>
          <w:tcPr>
            <w:tcW w:type="dxa" w:w="1587"/>
          </w:tcPr>
          <w:p>
            <w:pPr>
              <w:spacing w:after="0"/>
            </w:pPr>
            <w:r>
              <w:rPr>
                <w:sz w:val="17"/>
              </w:rPr>
              <w:t>Nil</w:t>
            </w:r>
          </w:p>
        </w:tc>
        <w:tc>
          <w:tcPr>
            <w:tcW w:type="dxa" w:w="1687"/>
          </w:tcPr>
          <w:p>
            <w:pPr>
              <w:spacing w:after="0"/>
              <w:jc w:val="right"/>
            </w:pPr>
            <w:r>
              <w:rPr>
                <w:sz w:val="17"/>
              </w:rPr>
              <w:t>0</w:t>
            </w:r>
          </w:p>
        </w:tc>
      </w:tr>
      <w:tr>
        <w:tc>
          <w:tcPr>
            <w:tcW w:type="dxa" w:w="1587"/>
          </w:tcPr>
          <w:p>
            <w:pPr>
              <w:spacing w:after="0"/>
            </w:pPr>
            <w:r>
              <w:rPr>
                <w:sz w:val="17"/>
              </w:rPr>
              <w:t>Q1 2026</w:t>
            </w:r>
          </w:p>
        </w:tc>
        <w:tc>
          <w:tcPr>
            <w:tcW w:type="dxa" w:w="1687"/>
          </w:tcPr>
          <w:p>
            <w:pPr>
              <w:spacing w:after="0"/>
              <w:jc w:val="right"/>
            </w:pPr>
            <w:r>
              <w:rPr>
                <w:sz w:val="17"/>
              </w:rPr>
              <w:t>50.2</w:t>
            </w:r>
          </w:p>
        </w:tc>
        <w:tc>
          <w:tcPr>
            <w:tcW w:type="dxa" w:w="1687"/>
          </w:tcPr>
          <w:p>
            <w:pPr>
              <w:spacing w:after="0"/>
              <w:jc w:val="right"/>
            </w:pPr>
            <w:r>
              <w:rPr>
                <w:sz w:val="17"/>
              </w:rPr>
              <w:t>5.1</w:t>
            </w:r>
          </w:p>
        </w:tc>
        <w:tc>
          <w:tcPr>
            <w:tcW w:type="dxa" w:w="1687"/>
          </w:tcPr>
          <w:p>
            <w:pPr>
              <w:spacing w:after="0"/>
              <w:jc w:val="right"/>
            </w:pPr>
            <w:r>
              <w:rPr>
                <w:sz w:val="17"/>
              </w:rPr>
              <w:t>82%</w:t>
            </w:r>
          </w:p>
        </w:tc>
        <w:tc>
          <w:tcPr>
            <w:tcW w:type="dxa" w:w="1587"/>
          </w:tcPr>
          <w:p>
            <w:pPr>
              <w:spacing w:after="0"/>
            </w:pPr>
            <w:r>
              <w:rPr>
                <w:sz w:val="17"/>
              </w:rPr>
              <w:t>Nil</w:t>
            </w:r>
          </w:p>
        </w:tc>
        <w:tc>
          <w:tcPr>
            <w:tcW w:type="dxa" w:w="1687"/>
          </w:tcPr>
          <w:p>
            <w:pPr>
              <w:spacing w:after="0"/>
              <w:jc w:val="right"/>
            </w:pPr>
            <w:r>
              <w:rPr>
                <w:sz w:val="17"/>
              </w:rPr>
              <w:t>1</w:t>
            </w:r>
          </w:p>
        </w:tc>
      </w:tr>
      <w:tr>
        <w:tc>
          <w:tcPr>
            <w:tcW w:type="dxa" w:w="1587"/>
          </w:tcPr>
          <w:p>
            <w:pPr>
              <w:spacing w:after="0"/>
            </w:pPr>
            <w:r>
              <w:rPr>
                <w:sz w:val="17"/>
              </w:rPr>
              <w:t>Q2 2026</w:t>
            </w:r>
          </w:p>
        </w:tc>
        <w:tc>
          <w:tcPr>
            <w:tcW w:type="dxa" w:w="1687"/>
          </w:tcPr>
          <w:p>
            <w:pPr>
              <w:spacing w:after="0"/>
              <w:jc w:val="right"/>
            </w:pPr>
            <w:r>
              <w:rPr>
                <w:sz w:val="17"/>
              </w:rPr>
              <w:t>51.9</w:t>
            </w:r>
          </w:p>
        </w:tc>
        <w:tc>
          <w:tcPr>
            <w:tcW w:type="dxa" w:w="1687"/>
          </w:tcPr>
          <w:p>
            <w:pPr>
              <w:spacing w:after="0"/>
              <w:jc w:val="right"/>
            </w:pPr>
            <w:r>
              <w:rPr>
                <w:sz w:val="17"/>
              </w:rPr>
              <w:t>5.1</w:t>
            </w:r>
          </w:p>
        </w:tc>
        <w:tc>
          <w:tcPr>
            <w:tcW w:type="dxa" w:w="1687"/>
          </w:tcPr>
          <w:p>
            <w:pPr>
              <w:spacing w:after="0"/>
              <w:jc w:val="right"/>
            </w:pPr>
            <w:r>
              <w:rPr>
                <w:sz w:val="17"/>
              </w:rPr>
              <w:t>84%</w:t>
            </w:r>
          </w:p>
        </w:tc>
        <w:tc>
          <w:tcPr>
            <w:tcW w:type="dxa" w:w="1587"/>
          </w:tcPr>
          <w:p>
            <w:pPr>
              <w:spacing w:after="0"/>
            </w:pPr>
            <w:r>
              <w:rPr>
                <w:sz w:val="17"/>
              </w:rPr>
              <w:t>Nil</w:t>
            </w:r>
          </w:p>
        </w:tc>
        <w:tc>
          <w:tcPr>
            <w:tcW w:type="dxa" w:w="1687"/>
          </w:tcPr>
          <w:p>
            <w:pPr>
              <w:spacing w:after="0"/>
              <w:jc w:val="right"/>
            </w:pPr>
            <w:r>
              <w:rPr>
                <w:sz w:val="17"/>
              </w:rPr>
              <w:t>0</w:t>
            </w:r>
          </w:p>
        </w:tc>
      </w:tr>
      <w:tr>
        <w:tc>
          <w:tcPr>
            <w:tcW w:type="dxa" w:w="1587"/>
          </w:tcPr>
          <w:p>
            <w:pPr>
              <w:spacing w:after="0"/>
            </w:pPr>
            <w:r>
              <w:rPr>
                <w:sz w:val="17"/>
              </w:rPr>
              <w:t>Q3 2026</w:t>
            </w:r>
          </w:p>
        </w:tc>
        <w:tc>
          <w:tcPr>
            <w:tcW w:type="dxa" w:w="1687"/>
          </w:tcPr>
          <w:p>
            <w:pPr>
              <w:spacing w:after="0"/>
              <w:jc w:val="right"/>
            </w:pPr>
            <w:r>
              <w:rPr>
                <w:sz w:val="17"/>
              </w:rPr>
              <w:t>56.9</w:t>
            </w:r>
          </w:p>
        </w:tc>
        <w:tc>
          <w:tcPr>
            <w:tcW w:type="dxa" w:w="1687"/>
          </w:tcPr>
          <w:p>
            <w:pPr>
              <w:spacing w:after="0"/>
              <w:jc w:val="right"/>
            </w:pPr>
            <w:r>
              <w:rPr>
                <w:sz w:val="17"/>
              </w:rPr>
              <w:t>5.2</w:t>
            </w:r>
          </w:p>
        </w:tc>
        <w:tc>
          <w:tcPr>
            <w:tcW w:type="dxa" w:w="1687"/>
          </w:tcPr>
          <w:p>
            <w:pPr>
              <w:spacing w:after="0"/>
              <w:jc w:val="right"/>
            </w:pPr>
            <w:r>
              <w:rPr>
                <w:sz w:val="17"/>
              </w:rPr>
              <w:t>84%</w:t>
            </w:r>
          </w:p>
        </w:tc>
        <w:tc>
          <w:tcPr>
            <w:tcW w:type="dxa" w:w="1587"/>
          </w:tcPr>
          <w:p>
            <w:pPr>
              <w:spacing w:after="0"/>
            </w:pPr>
            <w:r>
              <w:rPr>
                <w:sz w:val="17"/>
              </w:rPr>
              <w:t>Nil</w:t>
            </w:r>
          </w:p>
        </w:tc>
        <w:tc>
          <w:tcPr>
            <w:tcW w:type="dxa" w:w="1687"/>
          </w:tcPr>
          <w:p>
            <w:pPr>
              <w:spacing w:after="0"/>
              <w:jc w:val="right"/>
            </w:pPr>
            <w:r>
              <w:rPr>
                <w:sz w:val="17"/>
              </w:rPr>
              <w:t>0</w:t>
            </w:r>
          </w:p>
        </w:tc>
      </w:tr>
    </w:tbl>
    <w:p/>
    <w:p>
      <w:pPr>
        <w:spacing w:before="160"/>
      </w:pPr>
      <w:r>
        <w:rPr>
          <w:b/>
          <w:color w:val="1D3557"/>
          <w:sz w:val="22"/>
        </w:rPr>
        <w:t>8. Financials (as per audited and in-house statements)</w:t>
      </w:r>
    </w:p>
    <w:tbl>
      <w:tblPr>
        <w:tblStyle w:val="TableGrid"/>
        <w:tblW w:type="auto" w:w="0"/>
        <w:jc w:val="center"/>
        <w:tblLayout w:type="fixed"/>
        <w:tblLook w:firstColumn="1" w:firstRow="1" w:lastColumn="0" w:lastRow="0" w:noHBand="0" w:noVBand="1" w:val="04A0"/>
      </w:tblPr>
      <w:tblGrid>
        <w:gridCol w:w="3969"/>
        <w:gridCol w:w="1984"/>
        <w:gridCol w:w="1984"/>
        <w:gridCol w:w="1984"/>
      </w:tblGrid>
      <w:tr>
        <w:tc>
          <w:tcPr>
            <w:tcW w:type="dxa" w:w="3969"/>
            <w:shd w:val="clear" w:color="auto" w:fill="e9e6df"/>
          </w:tcPr>
          <w:p>
            <w:pPr>
              <w:spacing w:after="0"/>
            </w:pPr>
            <w:r>
              <w:rPr>
                <w:b/>
                <w:sz w:val="17"/>
              </w:rPr>
              <w:t>SAR m</w:t>
            </w:r>
          </w:p>
        </w:tc>
        <w:tc>
          <w:tcPr>
            <w:tcW w:type="dxa" w:w="1984"/>
            <w:shd w:val="clear" w:color="auto" w:fill="e9e6df"/>
          </w:tcPr>
          <w:p>
            <w:pPr>
              <w:spacing w:after="0"/>
            </w:pPr>
            <w:r>
              <w:rPr>
                <w:b/>
                <w:sz w:val="17"/>
              </w:rPr>
              <w:t>FY2024</w:t>
            </w:r>
          </w:p>
        </w:tc>
        <w:tc>
          <w:tcPr>
            <w:tcW w:type="dxa" w:w="1984"/>
            <w:shd w:val="clear" w:color="auto" w:fill="e9e6df"/>
          </w:tcPr>
          <w:p>
            <w:pPr>
              <w:spacing w:after="0"/>
            </w:pPr>
            <w:r>
              <w:rPr>
                <w:b/>
                <w:sz w:val="17"/>
              </w:rPr>
              <w:t>FY2025</w:t>
            </w:r>
          </w:p>
        </w:tc>
        <w:tc>
          <w:tcPr>
            <w:tcW w:type="dxa" w:w="1984"/>
            <w:shd w:val="clear" w:color="auto" w:fill="e9e6df"/>
          </w:tcPr>
          <w:p>
            <w:pPr>
              <w:spacing w:after="0"/>
            </w:pPr>
            <w:r>
              <w:rPr>
                <w:b/>
                <w:sz w:val="17"/>
              </w:rPr>
              <w:t>9M2026</w:t>
            </w:r>
          </w:p>
        </w:tc>
      </w:tr>
      <w:tr>
        <w:tc>
          <w:tcPr>
            <w:tcW w:type="dxa" w:w="3969"/>
          </w:tcPr>
          <w:p>
            <w:pPr>
              <w:spacing w:after="0"/>
            </w:pPr>
            <w:r>
              <w:rPr>
                <w:sz w:val="17"/>
              </w:rPr>
              <w:t>Revenue</w:t>
            </w:r>
          </w:p>
        </w:tc>
        <w:tc>
          <w:tcPr>
            <w:tcW w:type="dxa" w:w="1984"/>
          </w:tcPr>
          <w:p>
            <w:pPr>
              <w:spacing w:after="0"/>
              <w:jc w:val="right"/>
            </w:pPr>
            <w:r>
              <w:rPr>
                <w:sz w:val="17"/>
              </w:rPr>
              <w:t>182.4</w:t>
            </w:r>
          </w:p>
        </w:tc>
        <w:tc>
          <w:tcPr>
            <w:tcW w:type="dxa" w:w="1984"/>
          </w:tcPr>
          <w:p>
            <w:pPr>
              <w:spacing w:after="0"/>
              <w:jc w:val="right"/>
            </w:pPr>
            <w:r>
              <w:rPr>
                <w:sz w:val="17"/>
              </w:rPr>
              <w:t>251.7</w:t>
            </w:r>
          </w:p>
        </w:tc>
        <w:tc>
          <w:tcPr>
            <w:tcW w:type="dxa" w:w="1984"/>
          </w:tcPr>
          <w:p>
            <w:pPr>
              <w:spacing w:after="0"/>
              <w:jc w:val="right"/>
            </w:pPr>
            <w:r>
              <w:rPr>
                <w:sz w:val="17"/>
              </w:rPr>
              <w:t>205.6</w:t>
            </w:r>
          </w:p>
        </w:tc>
      </w:tr>
      <w:tr>
        <w:tc>
          <w:tcPr>
            <w:tcW w:type="dxa" w:w="3969"/>
          </w:tcPr>
          <w:p>
            <w:pPr>
              <w:spacing w:after="0"/>
            </w:pPr>
            <w:r>
              <w:rPr>
                <w:sz w:val="17"/>
              </w:rPr>
              <w:t>Revenue growth</w:t>
            </w:r>
          </w:p>
        </w:tc>
        <w:tc>
          <w:tcPr>
            <w:tcW w:type="dxa" w:w="1984"/>
          </w:tcPr>
          <w:p>
            <w:pPr>
              <w:spacing w:after="0"/>
              <w:jc w:val="right"/>
            </w:pPr>
            <w:r>
              <w:rPr>
                <w:sz w:val="17"/>
              </w:rPr>
              <w:t>14.8%</w:t>
            </w:r>
          </w:p>
        </w:tc>
        <w:tc>
          <w:tcPr>
            <w:tcW w:type="dxa" w:w="1984"/>
          </w:tcPr>
          <w:p>
            <w:pPr>
              <w:spacing w:after="0"/>
              <w:jc w:val="right"/>
            </w:pPr>
            <w:r>
              <w:rPr>
                <w:sz w:val="17"/>
              </w:rPr>
              <w:t>38.0%</w:t>
            </w:r>
          </w:p>
        </w:tc>
        <w:tc>
          <w:tcPr>
            <w:tcW w:type="dxa" w:w="1984"/>
          </w:tcPr>
          <w:p>
            <w:pPr>
              <w:spacing w:after="0"/>
            </w:pPr>
            <w:r>
              <w:rPr>
                <w:sz w:val="17"/>
              </w:rPr>
              <w:t>—</w:t>
            </w:r>
          </w:p>
        </w:tc>
      </w:tr>
      <w:tr>
        <w:tc>
          <w:tcPr>
            <w:tcW w:type="dxa" w:w="3969"/>
          </w:tcPr>
          <w:p>
            <w:pPr>
              <w:spacing w:after="0"/>
            </w:pPr>
            <w:r>
              <w:rPr>
                <w:sz w:val="17"/>
              </w:rPr>
              <w:t>Gross profit</w:t>
            </w:r>
          </w:p>
        </w:tc>
        <w:tc>
          <w:tcPr>
            <w:tcW w:type="dxa" w:w="1984"/>
          </w:tcPr>
          <w:p>
            <w:pPr>
              <w:spacing w:after="0"/>
              <w:jc w:val="right"/>
            </w:pPr>
            <w:r>
              <w:rPr>
                <w:sz w:val="17"/>
              </w:rPr>
              <w:t>44.7</w:t>
            </w:r>
          </w:p>
        </w:tc>
        <w:tc>
          <w:tcPr>
            <w:tcW w:type="dxa" w:w="1984"/>
          </w:tcPr>
          <w:p>
            <w:pPr>
              <w:spacing w:after="0"/>
              <w:jc w:val="right"/>
            </w:pPr>
            <w:r>
              <w:rPr>
                <w:sz w:val="17"/>
              </w:rPr>
              <w:t>58.1</w:t>
            </w:r>
          </w:p>
        </w:tc>
        <w:tc>
          <w:tcPr>
            <w:tcW w:type="dxa" w:w="1984"/>
          </w:tcPr>
          <w:p>
            <w:pPr>
              <w:spacing w:after="0"/>
              <w:jc w:val="right"/>
            </w:pPr>
            <w:r>
              <w:rPr>
                <w:sz w:val="17"/>
              </w:rPr>
              <w:t>46.1</w:t>
            </w:r>
          </w:p>
        </w:tc>
      </w:tr>
      <w:tr>
        <w:tc>
          <w:tcPr>
            <w:tcW w:type="dxa" w:w="3969"/>
          </w:tcPr>
          <w:p>
            <w:pPr>
              <w:spacing w:after="0"/>
            </w:pPr>
            <w:r>
              <w:rPr>
                <w:sz w:val="17"/>
              </w:rPr>
              <w:t>Gross margin</w:t>
            </w:r>
          </w:p>
        </w:tc>
        <w:tc>
          <w:tcPr>
            <w:tcW w:type="dxa" w:w="1984"/>
          </w:tcPr>
          <w:p>
            <w:pPr>
              <w:spacing w:after="0"/>
              <w:jc w:val="right"/>
            </w:pPr>
            <w:r>
              <w:rPr>
                <w:sz w:val="17"/>
              </w:rPr>
              <w:t>24.5%</w:t>
            </w:r>
          </w:p>
        </w:tc>
        <w:tc>
          <w:tcPr>
            <w:tcW w:type="dxa" w:w="1984"/>
          </w:tcPr>
          <w:p>
            <w:pPr>
              <w:spacing w:after="0"/>
              <w:jc w:val="right"/>
            </w:pPr>
            <w:r>
              <w:rPr>
                <w:sz w:val="17"/>
              </w:rPr>
              <w:t>23.1%</w:t>
            </w:r>
          </w:p>
        </w:tc>
        <w:tc>
          <w:tcPr>
            <w:tcW w:type="dxa" w:w="1984"/>
          </w:tcPr>
          <w:p>
            <w:pPr>
              <w:spacing w:after="0"/>
              <w:jc w:val="right"/>
            </w:pPr>
            <w:r>
              <w:rPr>
                <w:sz w:val="17"/>
              </w:rPr>
              <w:t>22.4%</w:t>
            </w:r>
          </w:p>
        </w:tc>
      </w:tr>
      <w:tr>
        <w:tc>
          <w:tcPr>
            <w:tcW w:type="dxa" w:w="3969"/>
          </w:tcPr>
          <w:p>
            <w:pPr>
              <w:spacing w:after="0"/>
            </w:pPr>
            <w:r>
              <w:rPr>
                <w:sz w:val="17"/>
              </w:rPr>
              <w:t>Operating profit</w:t>
            </w:r>
          </w:p>
        </w:tc>
        <w:tc>
          <w:tcPr>
            <w:tcW w:type="dxa" w:w="1984"/>
          </w:tcPr>
          <w:p>
            <w:pPr>
              <w:spacing w:after="0"/>
              <w:jc w:val="right"/>
            </w:pPr>
            <w:r>
              <w:rPr>
                <w:sz w:val="17"/>
              </w:rPr>
              <w:t>21.6</w:t>
            </w:r>
          </w:p>
        </w:tc>
        <w:tc>
          <w:tcPr>
            <w:tcW w:type="dxa" w:w="1984"/>
          </w:tcPr>
          <w:p>
            <w:pPr>
              <w:spacing w:after="0"/>
              <w:jc w:val="right"/>
            </w:pPr>
            <w:r>
              <w:rPr>
                <w:sz w:val="17"/>
              </w:rPr>
              <w:t>29.7</w:t>
            </w:r>
          </w:p>
        </w:tc>
        <w:tc>
          <w:tcPr>
            <w:tcW w:type="dxa" w:w="1984"/>
          </w:tcPr>
          <w:p>
            <w:pPr>
              <w:spacing w:after="0"/>
              <w:jc w:val="right"/>
            </w:pPr>
            <w:r>
              <w:rPr>
                <w:sz w:val="17"/>
              </w:rPr>
              <w:t>22.2</w:t>
            </w:r>
          </w:p>
        </w:tc>
      </w:tr>
      <w:tr>
        <w:tc>
          <w:tcPr>
            <w:tcW w:type="dxa" w:w="3969"/>
          </w:tcPr>
          <w:p>
            <w:pPr>
              <w:spacing w:after="0"/>
            </w:pPr>
            <w:r>
              <w:rPr>
                <w:sz w:val="17"/>
              </w:rPr>
              <w:t>Net profit</w:t>
            </w:r>
          </w:p>
        </w:tc>
        <w:tc>
          <w:tcPr>
            <w:tcW w:type="dxa" w:w="1984"/>
          </w:tcPr>
          <w:p>
            <w:pPr>
              <w:spacing w:after="0"/>
              <w:jc w:val="right"/>
            </w:pPr>
            <w:r>
              <w:rPr>
                <w:sz w:val="17"/>
              </w:rPr>
              <w:t>15.8</w:t>
            </w:r>
          </w:p>
        </w:tc>
        <w:tc>
          <w:tcPr>
            <w:tcW w:type="dxa" w:w="1984"/>
          </w:tcPr>
          <w:p>
            <w:pPr>
              <w:spacing w:after="0"/>
              <w:jc w:val="right"/>
            </w:pPr>
            <w:r>
              <w:rPr>
                <w:sz w:val="17"/>
              </w:rPr>
              <w:t>21.3</w:t>
            </w:r>
          </w:p>
        </w:tc>
        <w:tc>
          <w:tcPr>
            <w:tcW w:type="dxa" w:w="1984"/>
          </w:tcPr>
          <w:p>
            <w:pPr>
              <w:spacing w:after="0"/>
              <w:jc w:val="right"/>
            </w:pPr>
            <w:r>
              <w:rPr>
                <w:sz w:val="17"/>
              </w:rPr>
              <w:t>15.8</w:t>
            </w:r>
          </w:p>
        </w:tc>
      </w:tr>
      <w:tr>
        <w:tc>
          <w:tcPr>
            <w:tcW w:type="dxa" w:w="3969"/>
          </w:tcPr>
          <w:p>
            <w:pPr>
              <w:spacing w:after="0"/>
            </w:pPr>
            <w:r>
              <w:rPr>
                <w:sz w:val="17"/>
              </w:rPr>
              <w:t>Net margin</w:t>
            </w:r>
          </w:p>
        </w:tc>
        <w:tc>
          <w:tcPr>
            <w:tcW w:type="dxa" w:w="1984"/>
          </w:tcPr>
          <w:p>
            <w:pPr>
              <w:spacing w:after="0"/>
              <w:jc w:val="right"/>
            </w:pPr>
            <w:r>
              <w:rPr>
                <w:sz w:val="17"/>
              </w:rPr>
              <w:t>8.7%</w:t>
            </w:r>
          </w:p>
        </w:tc>
        <w:tc>
          <w:tcPr>
            <w:tcW w:type="dxa" w:w="1984"/>
          </w:tcPr>
          <w:p>
            <w:pPr>
              <w:spacing w:after="0"/>
              <w:jc w:val="right"/>
            </w:pPr>
            <w:r>
              <w:rPr>
                <w:sz w:val="17"/>
              </w:rPr>
              <w:t>8.5%</w:t>
            </w:r>
          </w:p>
        </w:tc>
        <w:tc>
          <w:tcPr>
            <w:tcW w:type="dxa" w:w="1984"/>
          </w:tcPr>
          <w:p>
            <w:pPr>
              <w:spacing w:after="0"/>
              <w:jc w:val="right"/>
            </w:pPr>
            <w:r>
              <w:rPr>
                <w:sz w:val="17"/>
              </w:rPr>
              <w:t>7.7%</w:t>
            </w:r>
          </w:p>
        </w:tc>
      </w:tr>
      <w:tr>
        <w:tc>
          <w:tcPr>
            <w:tcW w:type="dxa" w:w="3969"/>
          </w:tcPr>
          <w:p>
            <w:pPr>
              <w:spacing w:after="0"/>
            </w:pPr>
            <w:r>
              <w:rPr>
                <w:sz w:val="17"/>
              </w:rPr>
              <w:t>EBITDA</w:t>
            </w:r>
          </w:p>
        </w:tc>
        <w:tc>
          <w:tcPr>
            <w:tcW w:type="dxa" w:w="1984"/>
          </w:tcPr>
          <w:p>
            <w:pPr>
              <w:spacing w:after="0"/>
              <w:jc w:val="right"/>
            </w:pPr>
            <w:r>
              <w:rPr>
                <w:sz w:val="17"/>
              </w:rPr>
              <w:t>24.8</w:t>
            </w:r>
          </w:p>
        </w:tc>
        <w:tc>
          <w:tcPr>
            <w:tcW w:type="dxa" w:w="1984"/>
          </w:tcPr>
          <w:p>
            <w:pPr>
              <w:spacing w:after="0"/>
              <w:jc w:val="right"/>
            </w:pPr>
            <w:r>
              <w:rPr>
                <w:sz w:val="17"/>
              </w:rPr>
              <w:t>33.3</w:t>
            </w:r>
          </w:p>
        </w:tc>
        <w:tc>
          <w:tcPr>
            <w:tcW w:type="dxa" w:w="1984"/>
          </w:tcPr>
          <w:p>
            <w:pPr>
              <w:spacing w:after="0"/>
              <w:jc w:val="right"/>
            </w:pPr>
            <w:r>
              <w:rPr>
                <w:sz w:val="17"/>
              </w:rPr>
              <w:t>25.1</w:t>
            </w:r>
          </w:p>
        </w:tc>
      </w:tr>
      <w:tr>
        <w:tc>
          <w:tcPr>
            <w:tcW w:type="dxa" w:w="3969"/>
          </w:tcPr>
          <w:p>
            <w:pPr>
              <w:spacing w:after="0"/>
            </w:pPr>
            <w:r>
              <w:rPr>
                <w:sz w:val="17"/>
              </w:rPr>
              <w:t>Total assets</w:t>
            </w:r>
          </w:p>
        </w:tc>
        <w:tc>
          <w:tcPr>
            <w:tcW w:type="dxa" w:w="1984"/>
          </w:tcPr>
          <w:p>
            <w:pPr>
              <w:spacing w:after="0"/>
              <w:jc w:val="right"/>
            </w:pPr>
            <w:r>
              <w:rPr>
                <w:sz w:val="17"/>
              </w:rPr>
              <w:t>136.4</w:t>
            </w:r>
          </w:p>
        </w:tc>
        <w:tc>
          <w:tcPr>
            <w:tcW w:type="dxa" w:w="1984"/>
          </w:tcPr>
          <w:p>
            <w:pPr>
              <w:spacing w:after="0"/>
              <w:jc w:val="right"/>
            </w:pPr>
            <w:r>
              <w:rPr>
                <w:sz w:val="17"/>
              </w:rPr>
              <w:t>213.7</w:t>
            </w:r>
          </w:p>
        </w:tc>
        <w:tc>
          <w:tcPr>
            <w:tcW w:type="dxa" w:w="1984"/>
          </w:tcPr>
          <w:p>
            <w:pPr>
              <w:spacing w:after="0"/>
              <w:jc w:val="right"/>
            </w:pPr>
            <w:r>
              <w:rPr>
                <w:sz w:val="17"/>
              </w:rPr>
              <w:t>255.8</w:t>
            </w:r>
          </w:p>
        </w:tc>
      </w:tr>
      <w:tr>
        <w:tc>
          <w:tcPr>
            <w:tcW w:type="dxa" w:w="3969"/>
          </w:tcPr>
          <w:p>
            <w:pPr>
              <w:spacing w:after="0"/>
            </w:pPr>
            <w:r>
              <w:rPr>
                <w:sz w:val="17"/>
              </w:rPr>
              <w:t>Bank debt, short term</w:t>
            </w:r>
          </w:p>
        </w:tc>
        <w:tc>
          <w:tcPr>
            <w:tcW w:type="dxa" w:w="1984"/>
          </w:tcPr>
          <w:p>
            <w:pPr>
              <w:spacing w:after="0"/>
              <w:jc w:val="right"/>
            </w:pPr>
            <w:r>
              <w:rPr>
                <w:sz w:val="17"/>
              </w:rPr>
              <w:t>34.6</w:t>
            </w:r>
          </w:p>
        </w:tc>
        <w:tc>
          <w:tcPr>
            <w:tcW w:type="dxa" w:w="1984"/>
          </w:tcPr>
          <w:p>
            <w:pPr>
              <w:spacing w:after="0"/>
              <w:jc w:val="right"/>
            </w:pPr>
            <w:r>
              <w:rPr>
                <w:sz w:val="17"/>
              </w:rPr>
              <w:t>80.4</w:t>
            </w:r>
          </w:p>
        </w:tc>
        <w:tc>
          <w:tcPr>
            <w:tcW w:type="dxa" w:w="1984"/>
          </w:tcPr>
          <w:p>
            <w:pPr>
              <w:spacing w:after="0"/>
              <w:jc w:val="right"/>
            </w:pPr>
            <w:r>
              <w:rPr>
                <w:sz w:val="17"/>
              </w:rPr>
              <w:t>106.7</w:t>
            </w:r>
          </w:p>
        </w:tc>
      </w:tr>
      <w:tr>
        <w:tc>
          <w:tcPr>
            <w:tcW w:type="dxa" w:w="3969"/>
          </w:tcPr>
          <w:p>
            <w:pPr>
              <w:spacing w:after="0"/>
            </w:pPr>
            <w:r>
              <w:rPr>
                <w:sz w:val="17"/>
              </w:rPr>
              <w:t>Bank debt, long term</w:t>
            </w:r>
          </w:p>
        </w:tc>
        <w:tc>
          <w:tcPr>
            <w:tcW w:type="dxa" w:w="1984"/>
          </w:tcPr>
          <w:p>
            <w:pPr>
              <w:spacing w:after="0"/>
              <w:jc w:val="right"/>
            </w:pPr>
            <w:r>
              <w:rPr>
                <w:sz w:val="17"/>
              </w:rPr>
              <w:t>8.0</w:t>
            </w:r>
          </w:p>
        </w:tc>
        <w:tc>
          <w:tcPr>
            <w:tcW w:type="dxa" w:w="1984"/>
          </w:tcPr>
          <w:p>
            <w:pPr>
              <w:spacing w:after="0"/>
              <w:jc w:val="right"/>
            </w:pPr>
            <w:r>
              <w:rPr>
                <w:sz w:val="17"/>
              </w:rPr>
              <w:t>6.0</w:t>
            </w:r>
          </w:p>
        </w:tc>
        <w:tc>
          <w:tcPr>
            <w:tcW w:type="dxa" w:w="1984"/>
          </w:tcPr>
          <w:p>
            <w:pPr>
              <w:spacing w:after="0"/>
              <w:jc w:val="right"/>
            </w:pPr>
            <w:r>
              <w:rPr>
                <w:sz w:val="17"/>
              </w:rPr>
              <w:t>4.5</w:t>
            </w:r>
          </w:p>
        </w:tc>
      </w:tr>
      <w:tr>
        <w:tc>
          <w:tcPr>
            <w:tcW w:type="dxa" w:w="3969"/>
          </w:tcPr>
          <w:p>
            <w:pPr>
              <w:spacing w:after="0"/>
            </w:pPr>
            <w:r>
              <w:rPr>
                <w:sz w:val="17"/>
              </w:rPr>
              <w:t>Net worth (TNW)</w:t>
            </w:r>
          </w:p>
        </w:tc>
        <w:tc>
          <w:tcPr>
            <w:tcW w:type="dxa" w:w="1984"/>
          </w:tcPr>
          <w:p>
            <w:pPr>
              <w:spacing w:after="0"/>
              <w:jc w:val="right"/>
            </w:pPr>
            <w:r>
              <w:rPr>
                <w:sz w:val="17"/>
              </w:rPr>
              <w:t>60.9</w:t>
            </w:r>
          </w:p>
        </w:tc>
        <w:tc>
          <w:tcPr>
            <w:tcW w:type="dxa" w:w="1984"/>
          </w:tcPr>
          <w:p>
            <w:pPr>
              <w:spacing w:after="0"/>
              <w:jc w:val="right"/>
            </w:pPr>
            <w:r>
              <w:rPr>
                <w:sz w:val="17"/>
              </w:rPr>
              <w:t>76.2</w:t>
            </w:r>
          </w:p>
        </w:tc>
        <w:tc>
          <w:tcPr>
            <w:tcW w:type="dxa" w:w="1984"/>
          </w:tcPr>
          <w:p>
            <w:pPr>
              <w:spacing w:after="0"/>
              <w:jc w:val="right"/>
            </w:pPr>
            <w:r>
              <w:rPr>
                <w:sz w:val="17"/>
              </w:rPr>
              <w:t>92.0</w:t>
            </w:r>
          </w:p>
        </w:tc>
      </w:tr>
      <w:tr>
        <w:tc>
          <w:tcPr>
            <w:tcW w:type="dxa" w:w="3969"/>
          </w:tcPr>
          <w:p>
            <w:pPr>
              <w:spacing w:after="0"/>
            </w:pPr>
            <w:r>
              <w:rPr>
                <w:sz w:val="17"/>
              </w:rPr>
              <w:t>Leverage (TL / TNW)</w:t>
            </w:r>
          </w:p>
        </w:tc>
        <w:tc>
          <w:tcPr>
            <w:tcW w:type="dxa" w:w="1984"/>
          </w:tcPr>
          <w:p>
            <w:pPr>
              <w:spacing w:after="0"/>
              <w:jc w:val="right"/>
            </w:pPr>
            <w:r>
              <w:rPr>
                <w:sz w:val="17"/>
              </w:rPr>
              <w:t>1.24x</w:t>
            </w:r>
          </w:p>
        </w:tc>
        <w:tc>
          <w:tcPr>
            <w:tcW w:type="dxa" w:w="1984"/>
          </w:tcPr>
          <w:p>
            <w:pPr>
              <w:spacing w:after="0"/>
              <w:jc w:val="right"/>
            </w:pPr>
            <w:r>
              <w:rPr>
                <w:sz w:val="17"/>
              </w:rPr>
              <w:t>1.80x</w:t>
            </w:r>
          </w:p>
        </w:tc>
        <w:tc>
          <w:tcPr>
            <w:tcW w:type="dxa" w:w="1984"/>
          </w:tcPr>
          <w:p>
            <w:pPr>
              <w:spacing w:after="0"/>
              <w:jc w:val="right"/>
            </w:pPr>
            <w:r>
              <w:rPr>
                <w:sz w:val="17"/>
              </w:rPr>
              <w:t>1.78x</w:t>
            </w:r>
          </w:p>
        </w:tc>
      </w:tr>
      <w:tr>
        <w:tc>
          <w:tcPr>
            <w:tcW w:type="dxa" w:w="3969"/>
          </w:tcPr>
          <w:p>
            <w:pPr>
              <w:spacing w:after="0"/>
            </w:pPr>
            <w:r>
              <w:rPr>
                <w:sz w:val="17"/>
              </w:rPr>
              <w:t>Gearing (bank debt / TNW)</w:t>
            </w:r>
          </w:p>
        </w:tc>
        <w:tc>
          <w:tcPr>
            <w:tcW w:type="dxa" w:w="1984"/>
          </w:tcPr>
          <w:p>
            <w:pPr>
              <w:spacing w:after="0"/>
              <w:jc w:val="right"/>
            </w:pPr>
            <w:r>
              <w:rPr>
                <w:sz w:val="17"/>
              </w:rPr>
              <w:t>0.70x</w:t>
            </w:r>
          </w:p>
        </w:tc>
        <w:tc>
          <w:tcPr>
            <w:tcW w:type="dxa" w:w="1984"/>
          </w:tcPr>
          <w:p>
            <w:pPr>
              <w:spacing w:after="0"/>
              <w:jc w:val="right"/>
            </w:pPr>
            <w:r>
              <w:rPr>
                <w:sz w:val="17"/>
              </w:rPr>
              <w:t>1.13x</w:t>
            </w:r>
          </w:p>
        </w:tc>
        <w:tc>
          <w:tcPr>
            <w:tcW w:type="dxa" w:w="1984"/>
          </w:tcPr>
          <w:p>
            <w:pPr>
              <w:spacing w:after="0"/>
              <w:jc w:val="right"/>
            </w:pPr>
            <w:r>
              <w:rPr>
                <w:sz w:val="17"/>
              </w:rPr>
              <w:t>1.21x</w:t>
            </w:r>
          </w:p>
        </w:tc>
      </w:tr>
      <w:tr>
        <w:tc>
          <w:tcPr>
            <w:tcW w:type="dxa" w:w="3969"/>
          </w:tcPr>
          <w:p>
            <w:pPr>
              <w:spacing w:after="0"/>
            </w:pPr>
            <w:r>
              <w:rPr>
                <w:sz w:val="17"/>
              </w:rPr>
              <w:t>Working capital</w:t>
            </w:r>
          </w:p>
        </w:tc>
        <w:tc>
          <w:tcPr>
            <w:tcW w:type="dxa" w:w="1984"/>
          </w:tcPr>
          <w:p>
            <w:pPr>
              <w:spacing w:after="0"/>
              <w:jc w:val="right"/>
            </w:pPr>
            <w:r>
              <w:rPr>
                <w:sz w:val="17"/>
              </w:rPr>
              <w:t>47.9</w:t>
            </w:r>
          </w:p>
        </w:tc>
        <w:tc>
          <w:tcPr>
            <w:tcW w:type="dxa" w:w="1984"/>
          </w:tcPr>
          <w:p>
            <w:pPr>
              <w:spacing w:after="0"/>
              <w:jc w:val="right"/>
            </w:pPr>
            <w:r>
              <w:rPr>
                <w:sz w:val="17"/>
              </w:rPr>
              <w:t>60.5</w:t>
            </w:r>
          </w:p>
        </w:tc>
        <w:tc>
          <w:tcPr>
            <w:tcW w:type="dxa" w:w="1984"/>
          </w:tcPr>
          <w:p>
            <w:pPr>
              <w:spacing w:after="0"/>
              <w:jc w:val="right"/>
            </w:pPr>
            <w:r>
              <w:rPr>
                <w:sz w:val="17"/>
              </w:rPr>
              <w:t>75.0</w:t>
            </w:r>
          </w:p>
        </w:tc>
      </w:tr>
      <w:tr>
        <w:tc>
          <w:tcPr>
            <w:tcW w:type="dxa" w:w="3969"/>
          </w:tcPr>
          <w:p>
            <w:pPr>
              <w:spacing w:after="0"/>
            </w:pPr>
            <w:r>
              <w:rPr>
                <w:sz w:val="17"/>
              </w:rPr>
              <w:t>Current ratio</w:t>
            </w:r>
          </w:p>
        </w:tc>
        <w:tc>
          <w:tcPr>
            <w:tcW w:type="dxa" w:w="1984"/>
          </w:tcPr>
          <w:p>
            <w:pPr>
              <w:spacing w:after="0"/>
              <w:jc w:val="right"/>
            </w:pPr>
            <w:r>
              <w:rPr>
                <w:sz w:val="17"/>
              </w:rPr>
              <w:t>1.77x</w:t>
            </w:r>
          </w:p>
        </w:tc>
        <w:tc>
          <w:tcPr>
            <w:tcW w:type="dxa" w:w="1984"/>
          </w:tcPr>
          <w:p>
            <w:pPr>
              <w:spacing w:after="0"/>
              <w:jc w:val="right"/>
            </w:pPr>
            <w:r>
              <w:rPr>
                <w:sz w:val="17"/>
              </w:rPr>
              <w:t>1.48x</w:t>
            </w:r>
          </w:p>
        </w:tc>
        <w:tc>
          <w:tcPr>
            <w:tcW w:type="dxa" w:w="1984"/>
          </w:tcPr>
          <w:p>
            <w:pPr>
              <w:spacing w:after="0"/>
              <w:jc w:val="right"/>
            </w:pPr>
            <w:r>
              <w:rPr>
                <w:sz w:val="17"/>
              </w:rPr>
              <w:t>1.49x</w:t>
            </w:r>
          </w:p>
        </w:tc>
      </w:tr>
      <w:tr>
        <w:tc>
          <w:tcPr>
            <w:tcW w:type="dxa" w:w="3969"/>
          </w:tcPr>
          <w:p>
            <w:pPr>
              <w:spacing w:after="0"/>
            </w:pPr>
            <w:r>
              <w:rPr>
                <w:sz w:val="17"/>
              </w:rPr>
              <w:t>Operating cash flow</w:t>
            </w:r>
          </w:p>
        </w:tc>
        <w:tc>
          <w:tcPr>
            <w:tcW w:type="dxa" w:w="1984"/>
          </w:tcPr>
          <w:p>
            <w:pPr>
              <w:spacing w:after="0"/>
              <w:jc w:val="right"/>
            </w:pPr>
            <w:r>
              <w:rPr>
                <w:sz w:val="17"/>
              </w:rPr>
              <w:t>15.0</w:t>
            </w:r>
          </w:p>
        </w:tc>
        <w:tc>
          <w:tcPr>
            <w:tcW w:type="dxa" w:w="1984"/>
          </w:tcPr>
          <w:p>
            <w:pPr>
              <w:spacing w:after="0"/>
              <w:jc w:val="right"/>
            </w:pPr>
            <w:r>
              <w:rPr>
                <w:sz w:val="17"/>
              </w:rPr>
              <w:t>-35.0</w:t>
            </w:r>
          </w:p>
        </w:tc>
        <w:tc>
          <w:tcPr>
            <w:tcW w:type="dxa" w:w="1984"/>
          </w:tcPr>
          <w:p>
            <w:pPr>
              <w:spacing w:after="0"/>
              <w:jc w:val="right"/>
            </w:pPr>
            <w:r>
              <w:rPr>
                <w:sz w:val="17"/>
              </w:rPr>
              <w:t>-23.2</w:t>
            </w:r>
          </w:p>
        </w:tc>
      </w:tr>
    </w:tbl>
    <w:p/>
    <w:p>
      <w:r>
        <w:t>Auditor: FY2024 Basma &amp; Partners Chartered Accountants, unqualified (signed 17/04/2025); FY2025 Basma &amp; Partners Chartered Accountants, unqualified (signed 21/04/2026). 9M2026 in-house, prepared by Rania Yousef Khoury (unaudited).</w:t>
      </w:r>
    </w:p>
    <w:p>
      <w:pPr>
        <w:spacing w:before="160"/>
      </w:pPr>
      <w:r>
        <w:rPr>
          <w:b/>
          <w:color w:val="1D3557"/>
          <w:sz w:val="22"/>
        </w:rPr>
        <w:t>9. RM's justification</w:t>
      </w:r>
    </w:p>
    <w:p>
      <w:r>
        <w:t>Incorporated 2009; revenue SAR 251.7m in FY2025 (PY 182.4m, +38.0%) and SAR 205.6m in 9M2026, net profit SAR 21.3m (PY 15.8m); as per business, the distribution agreement of 02/2025 opens the Eastern and Southern regions.</w:t>
      </w:r>
    </w:p>
    <w:p>
      <w:r>
        <w:t>Murabaha and trust receipts are 99% utilised at 30/09/2026; as per business, LC demand rises with imports (FY2025 imports 46.5% of purchases). Al Rimal Commercial Bank offers SAR 45.0m today (10/02/2026); the increase keeps the Bank at 82% of receipts. Customer since 2017, no past dues, warehouse (FSV SAR 24.0m) mortgaged to the Bank, guarantors' net worth SAR 169.3m. Business recommends approval.</w:t>
      </w:r>
    </w:p>
    <w:tbl>
      <w:tblPr>
        <w:tblW w:type="auto" w:w="0"/>
        <w:tblLook w:firstColumn="1" w:firstRow="1" w:lastColumn="0" w:lastRow="0" w:noHBand="0" w:noVBand="1" w:val="04A0"/>
      </w:tblPr>
      <w:tblGrid>
        <w:gridCol w:w="4989"/>
        <w:gridCol w:w="4989"/>
      </w:tblGrid>
      <w:tr>
        <w:tc>
          <w:tcPr>
            <w:tcW w:type="dxa" w:w="4989"/>
          </w:tcPr>
          <w:p>
            <w:r>
              <w:br/>
              <w:br/>
              <w:t>______________________</w:t>
              <w:br/>
              <w:t>Nawaf Al-Otaibi</w:t>
              <w:br/>
              <w:t>Relationship Manager</w:t>
            </w:r>
          </w:p>
        </w:tc>
        <w:tc>
          <w:tcPr>
            <w:tcW w:type="dxa" w:w="4989"/>
          </w:tcPr>
          <w:p>
            <w:r>
              <w:br/>
              <w:br/>
              <w:t>______________________</w:t>
              <w:br/>
              <w:t>Hind Al-Subaie</w:t>
              <w:br/>
              <w:t>Unit Head, Corporate Banking — Central Region</w:t>
            </w:r>
          </w:p>
        </w:tc>
      </w:tr>
    </w:tbl>
    <w:p>
      <w:r>
        <w:br w:type="page"/>
      </w:r>
    </w:p>
    <w:p>
      <w:pPr>
        <w:spacing w:before="160"/>
      </w:pPr>
      <w:r>
        <w:rPr>
          <w:b/>
          <w:color w:val="1D3557"/>
          <w:sz w:val="22"/>
        </w:rPr>
        <w:t>CREDIT DIVISION COMMENTS</w:t>
      </w:r>
    </w:p>
    <w:p>
      <w:r>
        <w:t>Independent review of the business request against the documents on file and the Bank's own records. Figures in SAR million unless stated; prior period in brackets.</w:t>
      </w:r>
    </w:p>
    <w:p>
      <w:pPr>
        <w:spacing w:before="160"/>
      </w:pPr>
      <w:r>
        <w:rPr>
          <w:b/>
          <w:color w:val="1D3557"/>
          <w:sz w:val="22"/>
        </w:rPr>
        <w:t>Growth and cash: what the accounts and the Bank's data say</w:t>
      </w:r>
    </w:p>
    <w:p>
      <w:r>
        <w:t>Revenue rose to SAR 251.7m in FY2025 (PY 182.4m, +38.0%). Upon checking the Bank's account data, credit turnover rose only 9% (SAR 187.9m in calendar 2025 vs SAR 172.4m in 2024). Over the 12 months to 30/09/2026 the statements of both banks show customer receipts equal to 80% of VAT-inclusive sales (normal 95-100%), while the VAT returns (standard-rated sales SAR 276.6m) match booked revenue (SAR 276.8m) for the same 12 months: the sales are invoiced but not collected.</w:t>
      </w:r>
    </w:p>
    <w:p>
      <w:r>
        <w:t>Receivable days rose to 163 (FY2024 97) and 198 at 30/09/2026; trade receivables SAR 148.9m at 30/09/2026 (FY2025 112.3m; FY2024 48.5m). Operating cash flow was negative SAR 35.0m in FY2025 and SAR 23.2m in 9M2026, funded by short-term borrowings (SAR 104.7m at 30/09/2026 vs 32.6m at FY2024).</w:t>
      </w:r>
    </w:p>
    <w:p>
      <w:pPr>
        <w:spacing w:before="160"/>
      </w:pPr>
      <w:r>
        <w:rPr>
          <w:b/>
          <w:color w:val="1D3557"/>
          <w:sz w:val="22"/>
        </w:rPr>
        <w:t>The distributor</w:t>
      </w:r>
    </w:p>
    <w:p>
      <w:r>
        <w:t>Al Tayf Healthcare Trading Est. took SAR 78.0m or 31.0% of FY2025 sales (34% in 2026 per management). It is presented as a 'third-party distributor' in the top-customers list and the request letter, but the FY2025 audited accounts (Note 15) disclose it as 'an entity owned by a relative of a shareholder', and the Bank's records show it is owned by Sultan Majed Al-Naseem, son of director Majed Saad Al-Naseem, established on 09/02/2025, a week before the agreement. The AML questionnaire declares no other related parties, and condition 4 of CC/2025/031 (inform the Bank of new related-party trading) was not complied with.</w:t>
      </w:r>
    </w:p>
    <w:p>
      <w:r>
        <w:t>Its receivable is SAR 92.6m, 62% of trade receivables, of which SAR 54.7m (59%) is over 90 days and SAR 19.9m over 180 days against 120-day terms. In 12 months it paid SAR 44.6m against SAR 106.3m invoiced (VAT included). Its own account with the Bank received only SAR 34.2m in the same period, less than half of what it bought: the stock is not visibly being sold on. We cannot exclude that part of the FY2025 growth is goods parked with a family-owned entity.</w:t>
      </w:r>
    </w:p>
    <w:p>
      <w:pPr>
        <w:spacing w:before="160"/>
      </w:pPr>
      <w:r>
        <w:rPr>
          <w:b/>
          <w:color w:val="1D3557"/>
          <w:sz w:val="22"/>
        </w:rPr>
        <w:t>Group: sister company classified at another bank</w:t>
      </w:r>
    </w:p>
    <w:p>
      <w:r>
        <w:t>Fahad Saad Al-Naseem's SIMAH report (08/10/2026) shows his guarantee of SAR 22.0m for Naseem Lab Systems Co. at Al Rimal Commercial Bank classified substandard in 07/2026 (90+ days past due from 05/2026). The same company has a SAR 5.0m LG line with the Bank (SAR 4.2m outstanding), two cheques returned unpaid in 04/2026 and 06/2026, and is rated B- (BB in 2021). The business request does not mention it. The borrower is owed SAR 5.0m by the sister (FY2024 3.1m); the risk is that cash from the borrower supports the sister.</w:t>
      </w:r>
    </w:p>
    <w:p>
      <w:pPr>
        <w:spacing w:before="160"/>
      </w:pPr>
      <w:r>
        <w:rPr>
          <w:b/>
          <w:color w:val="1D3557"/>
          <w:sz w:val="22"/>
        </w:rPr>
        <w:t>Financials and adjusted ratios</w:t>
      </w:r>
    </w:p>
    <w:p>
      <w:r>
        <w:t>Auditor Basma &amp; Partners Chartered Accountants (unlisted firm, not on the Bank's panel), unqualified opinion on FY2024 (signed 17/04/2025) and FY2025 (21/04/2026); 9M2026 in-house accounts prepared by the Finance Manager, unaudited. The figures are in the business request (section 8); credit's re-performance:</w:t>
      </w:r>
    </w:p>
    <w:tbl>
      <w:tblPr>
        <w:tblStyle w:val="TableGrid"/>
        <w:tblW w:type="auto" w:w="0"/>
        <w:jc w:val="center"/>
        <w:tblLayout w:type="fixed"/>
        <w:tblLook w:firstColumn="1" w:firstRow="1" w:lastColumn="0" w:lastRow="0" w:noHBand="0" w:noVBand="1" w:val="04A0"/>
      </w:tblPr>
      <w:tblGrid>
        <w:gridCol w:w="3969"/>
        <w:gridCol w:w="1984"/>
        <w:gridCol w:w="1984"/>
        <w:gridCol w:w="1984"/>
      </w:tblGrid>
      <w:tr>
        <w:tc>
          <w:tcPr>
            <w:tcW w:type="dxa" w:w="3969"/>
            <w:shd w:val="clear" w:color="auto" w:fill="e9e6df"/>
          </w:tcPr>
          <w:p>
            <w:pPr>
              <w:spacing w:after="0"/>
            </w:pPr>
            <w:r>
              <w:rPr>
                <w:b/>
                <w:sz w:val="17"/>
              </w:rPr>
              <w:t>Re-performed by credit</w:t>
            </w:r>
          </w:p>
        </w:tc>
        <w:tc>
          <w:tcPr>
            <w:tcW w:type="dxa" w:w="1984"/>
            <w:shd w:val="clear" w:color="auto" w:fill="e9e6df"/>
          </w:tcPr>
          <w:p>
            <w:pPr>
              <w:spacing w:after="0"/>
            </w:pPr>
            <w:r>
              <w:rPr>
                <w:b/>
                <w:sz w:val="17"/>
              </w:rPr>
              <w:t>FY2024</w:t>
            </w:r>
          </w:p>
        </w:tc>
        <w:tc>
          <w:tcPr>
            <w:tcW w:type="dxa" w:w="1984"/>
            <w:shd w:val="clear" w:color="auto" w:fill="e9e6df"/>
          </w:tcPr>
          <w:p>
            <w:pPr>
              <w:spacing w:after="0"/>
            </w:pPr>
            <w:r>
              <w:rPr>
                <w:b/>
                <w:sz w:val="17"/>
              </w:rPr>
              <w:t>FY2025</w:t>
            </w:r>
          </w:p>
        </w:tc>
        <w:tc>
          <w:tcPr>
            <w:tcW w:type="dxa" w:w="1984"/>
            <w:shd w:val="clear" w:color="auto" w:fill="e9e6df"/>
          </w:tcPr>
          <w:p>
            <w:pPr>
              <w:spacing w:after="0"/>
            </w:pPr>
            <w:r>
              <w:rPr>
                <w:b/>
                <w:sz w:val="17"/>
              </w:rPr>
              <w:t>9M2026</w:t>
            </w:r>
          </w:p>
        </w:tc>
      </w:tr>
      <w:tr>
        <w:tc>
          <w:tcPr>
            <w:tcW w:type="dxa" w:w="3969"/>
          </w:tcPr>
          <w:p>
            <w:pPr>
              <w:spacing w:after="0"/>
            </w:pPr>
            <w:r>
              <w:rPr>
                <w:sz w:val="17"/>
              </w:rPr>
              <w:t>Receivable days (trade receivables / revenue)</w:t>
            </w:r>
          </w:p>
        </w:tc>
        <w:tc>
          <w:tcPr>
            <w:tcW w:type="dxa" w:w="1984"/>
          </w:tcPr>
          <w:p>
            <w:pPr>
              <w:spacing w:after="0"/>
              <w:jc w:val="right"/>
            </w:pPr>
            <w:r>
              <w:rPr>
                <w:sz w:val="17"/>
              </w:rPr>
              <w:t>97</w:t>
            </w:r>
          </w:p>
        </w:tc>
        <w:tc>
          <w:tcPr>
            <w:tcW w:type="dxa" w:w="1984"/>
          </w:tcPr>
          <w:p>
            <w:pPr>
              <w:spacing w:after="0"/>
              <w:jc w:val="right"/>
            </w:pPr>
            <w:r>
              <w:rPr>
                <w:sz w:val="17"/>
              </w:rPr>
              <w:t>163</w:t>
            </w:r>
          </w:p>
        </w:tc>
        <w:tc>
          <w:tcPr>
            <w:tcW w:type="dxa" w:w="1984"/>
          </w:tcPr>
          <w:p>
            <w:pPr>
              <w:spacing w:after="0"/>
              <w:jc w:val="right"/>
            </w:pPr>
            <w:r>
              <w:rPr>
                <w:sz w:val="17"/>
              </w:rPr>
              <w:t>198</w:t>
            </w:r>
          </w:p>
        </w:tc>
      </w:tr>
      <w:tr>
        <w:tc>
          <w:tcPr>
            <w:tcW w:type="dxa" w:w="3969"/>
          </w:tcPr>
          <w:p>
            <w:pPr>
              <w:spacing w:after="0"/>
            </w:pPr>
            <w:r>
              <w:rPr>
                <w:sz w:val="17"/>
              </w:rPr>
              <w:t>Inventory days (inventory / cost of revenue)</w:t>
            </w:r>
          </w:p>
        </w:tc>
        <w:tc>
          <w:tcPr>
            <w:tcW w:type="dxa" w:w="1984"/>
          </w:tcPr>
          <w:p>
            <w:pPr>
              <w:spacing w:after="0"/>
              <w:jc w:val="right"/>
            </w:pPr>
            <w:r>
              <w:rPr>
                <w:sz w:val="17"/>
              </w:rPr>
              <w:t>109</w:t>
            </w:r>
          </w:p>
        </w:tc>
        <w:tc>
          <w:tcPr>
            <w:tcW w:type="dxa" w:w="1984"/>
          </w:tcPr>
          <w:p>
            <w:pPr>
              <w:spacing w:after="0"/>
              <w:jc w:val="right"/>
            </w:pPr>
            <w:r>
              <w:rPr>
                <w:sz w:val="17"/>
              </w:rPr>
              <w:t>99</w:t>
            </w:r>
          </w:p>
        </w:tc>
        <w:tc>
          <w:tcPr>
            <w:tcW w:type="dxa" w:w="1984"/>
          </w:tcPr>
          <w:p>
            <w:pPr>
              <w:spacing w:after="0"/>
              <w:jc w:val="right"/>
            </w:pPr>
            <w:r>
              <w:rPr>
                <w:sz w:val="17"/>
              </w:rPr>
              <w:t>100</w:t>
            </w:r>
          </w:p>
        </w:tc>
      </w:tr>
      <w:tr>
        <w:tc>
          <w:tcPr>
            <w:tcW w:type="dxa" w:w="3969"/>
          </w:tcPr>
          <w:p>
            <w:pPr>
              <w:spacing w:after="0"/>
            </w:pPr>
            <w:r>
              <w:rPr>
                <w:sz w:val="17"/>
              </w:rPr>
              <w:t>Payable days (trade payables / cost of revenue)</w:t>
            </w:r>
          </w:p>
        </w:tc>
        <w:tc>
          <w:tcPr>
            <w:tcW w:type="dxa" w:w="1984"/>
          </w:tcPr>
          <w:p>
            <w:pPr>
              <w:spacing w:after="0"/>
              <w:jc w:val="right"/>
            </w:pPr>
            <w:r>
              <w:rPr>
                <w:sz w:val="17"/>
              </w:rPr>
              <w:t>49</w:t>
            </w:r>
          </w:p>
        </w:tc>
        <w:tc>
          <w:tcPr>
            <w:tcW w:type="dxa" w:w="1984"/>
          </w:tcPr>
          <w:p>
            <w:pPr>
              <w:spacing w:after="0"/>
              <w:jc w:val="right"/>
            </w:pPr>
            <w:r>
              <w:rPr>
                <w:sz w:val="17"/>
              </w:rPr>
              <w:t>51</w:t>
            </w:r>
          </w:p>
        </w:tc>
        <w:tc>
          <w:tcPr>
            <w:tcW w:type="dxa" w:w="1984"/>
          </w:tcPr>
          <w:p>
            <w:pPr>
              <w:spacing w:after="0"/>
              <w:jc w:val="right"/>
            </w:pPr>
            <w:r>
              <w:rPr>
                <w:sz w:val="17"/>
              </w:rPr>
              <w:t>51</w:t>
            </w:r>
          </w:p>
        </w:tc>
      </w:tr>
      <w:tr>
        <w:tc>
          <w:tcPr>
            <w:tcW w:type="dxa" w:w="3969"/>
          </w:tcPr>
          <w:p>
            <w:pPr>
              <w:spacing w:after="0"/>
            </w:pPr>
            <w:r>
              <w:rPr>
                <w:sz w:val="17"/>
              </w:rPr>
              <w:t>Cash cycle (days)</w:t>
            </w:r>
          </w:p>
        </w:tc>
        <w:tc>
          <w:tcPr>
            <w:tcW w:type="dxa" w:w="1984"/>
          </w:tcPr>
          <w:p>
            <w:pPr>
              <w:spacing w:after="0"/>
              <w:jc w:val="right"/>
            </w:pPr>
            <w:r>
              <w:rPr>
                <w:sz w:val="17"/>
              </w:rPr>
              <w:t>157</w:t>
            </w:r>
          </w:p>
        </w:tc>
        <w:tc>
          <w:tcPr>
            <w:tcW w:type="dxa" w:w="1984"/>
          </w:tcPr>
          <w:p>
            <w:pPr>
              <w:spacing w:after="0"/>
              <w:jc w:val="right"/>
            </w:pPr>
            <w:r>
              <w:rPr>
                <w:sz w:val="17"/>
              </w:rPr>
              <w:t>211</w:t>
            </w:r>
          </w:p>
        </w:tc>
        <w:tc>
          <w:tcPr>
            <w:tcW w:type="dxa" w:w="1984"/>
          </w:tcPr>
          <w:p>
            <w:pPr>
              <w:spacing w:after="0"/>
              <w:jc w:val="right"/>
            </w:pPr>
            <w:r>
              <w:rPr>
                <w:sz w:val="17"/>
              </w:rPr>
              <w:t>246</w:t>
            </w:r>
          </w:p>
        </w:tc>
      </w:tr>
      <w:tr>
        <w:tc>
          <w:tcPr>
            <w:tcW w:type="dxa" w:w="3969"/>
          </w:tcPr>
          <w:p>
            <w:pPr>
              <w:spacing w:after="0"/>
            </w:pPr>
            <w:r>
              <w:rPr>
                <w:sz w:val="17"/>
              </w:rPr>
              <w:t>Trade receivables, % of current assets</w:t>
            </w:r>
          </w:p>
        </w:tc>
        <w:tc>
          <w:tcPr>
            <w:tcW w:type="dxa" w:w="1984"/>
          </w:tcPr>
          <w:p>
            <w:pPr>
              <w:spacing w:after="0"/>
              <w:jc w:val="right"/>
            </w:pPr>
            <w:r>
              <w:rPr>
                <w:sz w:val="17"/>
              </w:rPr>
              <w:t>44%</w:t>
            </w:r>
          </w:p>
        </w:tc>
        <w:tc>
          <w:tcPr>
            <w:tcW w:type="dxa" w:w="1984"/>
          </w:tcPr>
          <w:p>
            <w:pPr>
              <w:spacing w:after="0"/>
              <w:jc w:val="right"/>
            </w:pPr>
            <w:r>
              <w:rPr>
                <w:sz w:val="17"/>
              </w:rPr>
              <w:t>60%</w:t>
            </w:r>
          </w:p>
        </w:tc>
        <w:tc>
          <w:tcPr>
            <w:tcW w:type="dxa" w:w="1984"/>
          </w:tcPr>
          <w:p>
            <w:pPr>
              <w:spacing w:after="0"/>
              <w:jc w:val="right"/>
            </w:pPr>
            <w:r>
              <w:rPr>
                <w:sz w:val="17"/>
              </w:rPr>
              <w:t>65%</w:t>
            </w:r>
          </w:p>
        </w:tc>
      </w:tr>
      <w:tr>
        <w:tc>
          <w:tcPr>
            <w:tcW w:type="dxa" w:w="3969"/>
          </w:tcPr>
          <w:p>
            <w:pPr>
              <w:spacing w:after="0"/>
            </w:pPr>
            <w:r>
              <w:rPr>
                <w:sz w:val="17"/>
              </w:rPr>
              <w:t>Interest cover (EBITDA / finance cost)</w:t>
            </w:r>
          </w:p>
        </w:tc>
        <w:tc>
          <w:tcPr>
            <w:tcW w:type="dxa" w:w="1984"/>
          </w:tcPr>
          <w:p>
            <w:pPr>
              <w:spacing w:after="0"/>
              <w:jc w:val="right"/>
            </w:pPr>
            <w:r>
              <w:rPr>
                <w:sz w:val="17"/>
              </w:rPr>
              <w:t>5.4x</w:t>
            </w:r>
          </w:p>
        </w:tc>
        <w:tc>
          <w:tcPr>
            <w:tcW w:type="dxa" w:w="1984"/>
          </w:tcPr>
          <w:p>
            <w:pPr>
              <w:spacing w:after="0"/>
              <w:jc w:val="right"/>
            </w:pPr>
            <w:r>
              <w:rPr>
                <w:sz w:val="17"/>
              </w:rPr>
              <w:t>4.8x</w:t>
            </w:r>
          </w:p>
        </w:tc>
        <w:tc>
          <w:tcPr>
            <w:tcW w:type="dxa" w:w="1984"/>
          </w:tcPr>
          <w:p>
            <w:pPr>
              <w:spacing w:after="0"/>
              <w:jc w:val="right"/>
            </w:pPr>
            <w:r>
              <w:rPr>
                <w:sz w:val="17"/>
              </w:rPr>
              <w:t>3.9x</w:t>
            </w:r>
          </w:p>
        </w:tc>
      </w:tr>
    </w:tbl>
    <w:p/>
    <w:p>
      <w:pPr>
        <w:pStyle w:val="ListBullet"/>
      </w:pPr>
      <w:r>
        <w:t>Gross margin 23.1% in FY2025 (FY2024 24.5%) and 22.4% in 9M2026: the distributor is sold at lower margins.</w:t>
      </w:r>
    </w:p>
    <w:p>
      <w:pPr>
        <w:pStyle w:val="ListBullet"/>
      </w:pPr>
      <w:r>
        <w:t>If the distributor's receivable over 180 days (SAR 19.9m) and the amount due from the sister (SAR 5.0m) are netted off, adjusted net worth is SAR 67.1m (reported 92.0m) and adjusted leverage 2.44x (reported 1.78x).</w:t>
      </w:r>
    </w:p>
    <w:p>
      <w:pPr>
        <w:pStyle w:val="ListBullet"/>
      </w:pPr>
      <w:r>
        <w:t>Composition of current assets at 30/09/2026 (SAR 228.2m): trade receivables 65%, inventory 26%, cash 3%. Receivables over 90 days SAR 69.9m (47%); top 2 debtors (the distributor and the Ministry hospitals cluster) 81%.</w:t>
      </w:r>
    </w:p>
    <w:p>
      <w:pPr>
        <w:pStyle w:val="ListBullet"/>
      </w:pPr>
      <w:r>
        <w:t>9M2026 annualised: revenue SAR 274.1m (FY2025 251.7m, +9%), net profit SAR 21.1m (FY2025 21.3m), while receivables rose SAR 36.6m in nine months.</w:t>
      </w:r>
    </w:p>
    <w:p>
      <w:pPr>
        <w:pStyle w:val="ListBullet"/>
      </w:pPr>
      <w:r>
        <w:t>Bank debt SAR 111.2m at 30/09/2026 (FY2024 42.6m). With the increase, funded short-term lines would reach SAR 120.0m (the Bank 90.0, Al Rimal Commercial Bank 30.0) against SAR 114.6m of receivables outside the distributor plus inventory: the increase is only covered if the distributor's receivable is counted.</w:t>
      </w:r>
    </w:p>
    <w:p>
      <w:pPr>
        <w:spacing w:before="160"/>
      </w:pPr>
      <w:r>
        <w:rPr>
          <w:b/>
          <w:color w:val="1D3557"/>
          <w:sz w:val="22"/>
        </w:rPr>
        <w:t>Security</w:t>
      </w:r>
    </w:p>
    <w:p>
      <w:r>
        <w:t>The warehouse valuation dated 14/08/2025 is older than 12 months (condition 5 of CC/2025/031 not complied); market value SAR 31.5m, FSV SAR 24.0m covers 16% of the proposed facilities. Guarantors' net worth: Fahad SAR 121.2m (31/08/2026), of which SAR 68.0m (55% of assets) is shares of the holding and the borrower at book value; outside the group SAR 53.2m (real estate SAR 38.1m at owner's valuation, cash SAR 11.9m, listed shares SAR 6.3m). Majed SAR 48.1m, of which SAR 35.2m (73%) is his 40% of the holding. Real-estate valuations not provided.</w:t>
      </w:r>
    </w:p>
    <w:p>
      <w:pPr>
        <w:spacing w:before="160"/>
      </w:pPr>
      <w:r>
        <w:rPr>
          <w:b/>
          <w:color w:val="1D3557"/>
          <w:sz w:val="22"/>
        </w:rPr>
        <w:t>Credit bureau and other banks</w:t>
      </w:r>
    </w:p>
    <w:p>
      <w:r>
        <w:t>SIMAH company report (08/10/2026, score 702, 2 enquiries in 6 months): limits SAR 146.5m with two banks, outstanding SAR 120.2m, no overdue, no defaults.</w:t>
      </w:r>
    </w:p>
    <w:tbl>
      <w:tblPr>
        <w:tblStyle w:val="TableGrid"/>
        <w:tblW w:type="auto" w:w="0"/>
        <w:jc w:val="center"/>
        <w:tblLayout w:type="fixed"/>
        <w:tblLook w:firstColumn="1" w:firstRow="1" w:lastColumn="0" w:lastRow="0" w:noHBand="0" w:noVBand="1" w:val="04A0"/>
      </w:tblPr>
      <w:tblGrid>
        <w:gridCol w:w="2183"/>
        <w:gridCol w:w="2183"/>
        <w:gridCol w:w="794"/>
        <w:gridCol w:w="1290"/>
        <w:gridCol w:w="1488"/>
        <w:gridCol w:w="1984"/>
      </w:tblGrid>
      <w:tr>
        <w:tc>
          <w:tcPr>
            <w:tcW w:type="dxa" w:w="2183"/>
            <w:shd w:val="clear" w:color="auto" w:fill="e9e6df"/>
          </w:tcPr>
          <w:p>
            <w:pPr>
              <w:spacing w:after="0"/>
            </w:pPr>
            <w:r>
              <w:rPr>
                <w:b/>
                <w:sz w:val="17"/>
              </w:rPr>
              <w:t>Bank (SAR m)</w:t>
            </w:r>
          </w:p>
        </w:tc>
        <w:tc>
          <w:tcPr>
            <w:tcW w:type="dxa" w:w="2183"/>
            <w:shd w:val="clear" w:color="auto" w:fill="e9e6df"/>
          </w:tcPr>
          <w:p>
            <w:pPr>
              <w:spacing w:after="0"/>
            </w:pPr>
            <w:r>
              <w:rPr>
                <w:b/>
                <w:sz w:val="17"/>
              </w:rPr>
              <w:t>Facility</w:t>
            </w:r>
          </w:p>
        </w:tc>
        <w:tc>
          <w:tcPr>
            <w:tcW w:type="dxa" w:w="794"/>
            <w:shd w:val="clear" w:color="auto" w:fill="e9e6df"/>
          </w:tcPr>
          <w:p>
            <w:pPr>
              <w:spacing w:after="0"/>
            </w:pPr>
            <w:r>
              <w:rPr>
                <w:b/>
                <w:sz w:val="17"/>
              </w:rPr>
              <w:t>Limit</w:t>
            </w:r>
          </w:p>
        </w:tc>
        <w:tc>
          <w:tcPr>
            <w:tcW w:type="dxa" w:w="1290"/>
            <w:shd w:val="clear" w:color="auto" w:fill="e9e6df"/>
          </w:tcPr>
          <w:p>
            <w:pPr>
              <w:spacing w:after="0"/>
            </w:pPr>
            <w:r>
              <w:rPr>
                <w:b/>
                <w:sz w:val="17"/>
              </w:rPr>
              <w:t>Outstanding</w:t>
            </w:r>
          </w:p>
        </w:tc>
        <w:tc>
          <w:tcPr>
            <w:tcW w:type="dxa" w:w="1488"/>
            <w:shd w:val="clear" w:color="auto" w:fill="e9e6df"/>
          </w:tcPr>
          <w:p>
            <w:pPr>
              <w:spacing w:after="0"/>
            </w:pPr>
            <w:r>
              <w:rPr>
                <w:b/>
                <w:sz w:val="17"/>
              </w:rPr>
              <w:t>Pricing</w:t>
            </w:r>
          </w:p>
        </w:tc>
        <w:tc>
          <w:tcPr>
            <w:tcW w:type="dxa" w:w="1984"/>
            <w:shd w:val="clear" w:color="auto" w:fill="e9e6df"/>
          </w:tcPr>
          <w:p>
            <w:pPr>
              <w:spacing w:after="0"/>
            </w:pPr>
            <w:r>
              <w:rPr>
                <w:b/>
                <w:sz w:val="17"/>
              </w:rPr>
              <w:t>Source</w:t>
            </w:r>
          </w:p>
        </w:tc>
      </w:tr>
      <w:tr>
        <w:tc>
          <w:tcPr>
            <w:tcW w:type="dxa" w:w="2183"/>
          </w:tcPr>
          <w:p>
            <w:pPr>
              <w:spacing w:after="0"/>
            </w:pPr>
            <w:r>
              <w:rPr>
                <w:sz w:val="17"/>
              </w:rPr>
              <w:t>Sandstone Harbour Bank</w:t>
            </w:r>
          </w:p>
        </w:tc>
        <w:tc>
          <w:tcPr>
            <w:tcW w:type="dxa" w:w="2183"/>
          </w:tcPr>
          <w:p>
            <w:pPr>
              <w:spacing w:after="0"/>
            </w:pPr>
            <w:r>
              <w:rPr>
                <w:sz w:val="17"/>
              </w:rPr>
              <w:t>Murabaha, LC, TR, LG, term loan</w:t>
            </w:r>
          </w:p>
        </w:tc>
        <w:tc>
          <w:tcPr>
            <w:tcW w:type="dxa" w:w="794"/>
          </w:tcPr>
          <w:p>
            <w:pPr>
              <w:spacing w:after="0"/>
              <w:jc w:val="right"/>
            </w:pPr>
            <w:r>
              <w:rPr>
                <w:sz w:val="17"/>
              </w:rPr>
              <w:t>101.5</w:t>
            </w:r>
          </w:p>
        </w:tc>
        <w:tc>
          <w:tcPr>
            <w:tcW w:type="dxa" w:w="1290"/>
          </w:tcPr>
          <w:p>
            <w:pPr>
              <w:spacing w:after="0"/>
              <w:jc w:val="right"/>
            </w:pPr>
            <w:r>
              <w:rPr>
                <w:sz w:val="17"/>
              </w:rPr>
              <w:t>82.4</w:t>
            </w:r>
          </w:p>
        </w:tc>
        <w:tc>
          <w:tcPr>
            <w:tcW w:type="dxa" w:w="1488"/>
          </w:tcPr>
          <w:p>
            <w:pPr>
              <w:spacing w:after="0"/>
            </w:pPr>
            <w:r>
              <w:rPr>
                <w:sz w:val="17"/>
              </w:rPr>
              <w:t>3M SAIBOR + 1.75-2.00%</w:t>
            </w:r>
          </w:p>
        </w:tc>
        <w:tc>
          <w:tcPr>
            <w:tcW w:type="dxa" w:w="1984"/>
          </w:tcPr>
          <w:p>
            <w:pPr>
              <w:spacing w:after="0"/>
            </w:pPr>
            <w:r>
              <w:rPr>
                <w:sz w:val="17"/>
              </w:rPr>
              <w:t>Bank records = SIMAH</w:t>
            </w:r>
          </w:p>
        </w:tc>
      </w:tr>
      <w:tr>
        <w:tc>
          <w:tcPr>
            <w:tcW w:type="dxa" w:w="2183"/>
          </w:tcPr>
          <w:p>
            <w:pPr>
              <w:spacing w:after="0"/>
            </w:pPr>
            <w:r>
              <w:rPr>
                <w:sz w:val="17"/>
              </w:rPr>
              <w:t>Al Rimal Commercial Bank</w:t>
            </w:r>
          </w:p>
        </w:tc>
        <w:tc>
          <w:tcPr>
            <w:tcW w:type="dxa" w:w="2183"/>
          </w:tcPr>
          <w:p>
            <w:pPr>
              <w:spacing w:after="0"/>
            </w:pPr>
            <w:r>
              <w:rPr>
                <w:sz w:val="17"/>
              </w:rPr>
              <w:t>Short-term Murabaha</w:t>
            </w:r>
          </w:p>
        </w:tc>
        <w:tc>
          <w:tcPr>
            <w:tcW w:type="dxa" w:w="794"/>
          </w:tcPr>
          <w:p>
            <w:pPr>
              <w:spacing w:after="0"/>
              <w:jc w:val="right"/>
            </w:pPr>
            <w:r>
              <w:rPr>
                <w:sz w:val="17"/>
              </w:rPr>
              <w:t>30.0</w:t>
            </w:r>
          </w:p>
        </w:tc>
        <w:tc>
          <w:tcPr>
            <w:tcW w:type="dxa" w:w="1290"/>
          </w:tcPr>
          <w:p>
            <w:pPr>
              <w:spacing w:after="0"/>
              <w:jc w:val="right"/>
            </w:pPr>
            <w:r>
              <w:rPr>
                <w:sz w:val="17"/>
              </w:rPr>
              <w:t>29.1</w:t>
            </w:r>
          </w:p>
        </w:tc>
        <w:tc>
          <w:tcPr>
            <w:tcW w:type="dxa" w:w="1488"/>
          </w:tcPr>
          <w:p>
            <w:pPr>
              <w:spacing w:after="0"/>
            </w:pPr>
            <w:r>
              <w:rPr>
                <w:sz w:val="17"/>
              </w:rPr>
              <w:t>3M SAIBOR + 1.90%</w:t>
            </w:r>
          </w:p>
        </w:tc>
        <w:tc>
          <w:tcPr>
            <w:tcW w:type="dxa" w:w="1984"/>
          </w:tcPr>
          <w:p>
            <w:pPr>
              <w:spacing w:after="0"/>
            </w:pPr>
            <w:r>
              <w:rPr>
                <w:sz w:val="17"/>
              </w:rPr>
              <w:t>Statement 30/09/2026 = SIMAH</w:t>
            </w:r>
          </w:p>
        </w:tc>
      </w:tr>
      <w:tr>
        <w:tc>
          <w:tcPr>
            <w:tcW w:type="dxa" w:w="2183"/>
          </w:tcPr>
          <w:p>
            <w:pPr>
              <w:spacing w:after="0"/>
            </w:pPr>
            <w:r>
              <w:rPr>
                <w:sz w:val="17"/>
              </w:rPr>
              <w:t>Al Rimal Commercial Bank</w:t>
            </w:r>
          </w:p>
        </w:tc>
        <w:tc>
          <w:tcPr>
            <w:tcW w:type="dxa" w:w="2183"/>
          </w:tcPr>
          <w:p>
            <w:pPr>
              <w:spacing w:after="0"/>
            </w:pPr>
            <w:r>
              <w:rPr>
                <w:sz w:val="17"/>
              </w:rPr>
              <w:t>Letters of credit</w:t>
            </w:r>
          </w:p>
        </w:tc>
        <w:tc>
          <w:tcPr>
            <w:tcW w:type="dxa" w:w="794"/>
          </w:tcPr>
          <w:p>
            <w:pPr>
              <w:spacing w:after="0"/>
              <w:jc w:val="right"/>
            </w:pPr>
            <w:r>
              <w:rPr>
                <w:sz w:val="17"/>
              </w:rPr>
              <w:t>15.0</w:t>
            </w:r>
          </w:p>
        </w:tc>
        <w:tc>
          <w:tcPr>
            <w:tcW w:type="dxa" w:w="1290"/>
          </w:tcPr>
          <w:p>
            <w:pPr>
              <w:spacing w:after="0"/>
              <w:jc w:val="right"/>
            </w:pPr>
            <w:r>
              <w:rPr>
                <w:sz w:val="17"/>
              </w:rPr>
              <w:t>8.7</w:t>
            </w:r>
          </w:p>
        </w:tc>
        <w:tc>
          <w:tcPr>
            <w:tcW w:type="dxa" w:w="1488"/>
          </w:tcPr>
          <w:p>
            <w:pPr>
              <w:spacing w:after="0"/>
            </w:pPr>
            <w:r>
              <w:rPr>
                <w:sz w:val="17"/>
              </w:rPr>
              <w:t>0.30% p.q.</w:t>
            </w:r>
          </w:p>
        </w:tc>
        <w:tc>
          <w:tcPr>
            <w:tcW w:type="dxa" w:w="1984"/>
          </w:tcPr>
          <w:p>
            <w:pPr>
              <w:spacing w:after="0"/>
            </w:pPr>
            <w:r>
              <w:rPr>
                <w:sz w:val="17"/>
              </w:rPr>
              <w:t>Statement 30/09/2026 = SIMAH</w:t>
            </w:r>
          </w:p>
        </w:tc>
      </w:tr>
      <w:tr>
        <w:tc>
          <w:tcPr>
            <w:tcW w:type="dxa" w:w="2183"/>
          </w:tcPr>
          <w:p>
            <w:pPr>
              <w:spacing w:after="0"/>
            </w:pPr>
            <w:r>
              <w:rPr>
                <w:sz w:val="17"/>
              </w:rPr>
              <w:t>Total</w:t>
            </w:r>
          </w:p>
        </w:tc>
        <w:tc>
          <w:tcPr>
            <w:tcW w:type="dxa" w:w="2183"/>
          </w:tcPr>
          <w:p>
            <w:pPr>
              <w:spacing w:after="0"/>
            </w:pPr>
            <w:r>
              <w:rPr>
                <w:sz w:val="17"/>
              </w:rPr>
            </w:r>
          </w:p>
        </w:tc>
        <w:tc>
          <w:tcPr>
            <w:tcW w:type="dxa" w:w="794"/>
          </w:tcPr>
          <w:p>
            <w:pPr>
              <w:spacing w:after="0"/>
              <w:jc w:val="right"/>
            </w:pPr>
            <w:r>
              <w:rPr>
                <w:sz w:val="17"/>
              </w:rPr>
              <w:t>146.5</w:t>
            </w:r>
          </w:p>
        </w:tc>
        <w:tc>
          <w:tcPr>
            <w:tcW w:type="dxa" w:w="1290"/>
          </w:tcPr>
          <w:p>
            <w:pPr>
              <w:spacing w:after="0"/>
              <w:jc w:val="right"/>
            </w:pPr>
            <w:r>
              <w:rPr>
                <w:sz w:val="17"/>
              </w:rPr>
              <w:t>120.2</w:t>
            </w:r>
          </w:p>
        </w:tc>
        <w:tc>
          <w:tcPr>
            <w:tcW w:type="dxa" w:w="1488"/>
          </w:tcPr>
          <w:p>
            <w:pPr>
              <w:spacing w:after="0"/>
            </w:pPr>
            <w:r>
              <w:rPr>
                <w:sz w:val="17"/>
              </w:rPr>
            </w:r>
          </w:p>
        </w:tc>
        <w:tc>
          <w:tcPr>
            <w:tcW w:type="dxa" w:w="1984"/>
          </w:tcPr>
          <w:p>
            <w:pPr>
              <w:spacing w:after="0"/>
            </w:pPr>
            <w:r>
              <w:rPr>
                <w:sz w:val="17"/>
              </w:rPr>
              <w:t>Reconciled</w:t>
            </w:r>
          </w:p>
        </w:tc>
      </w:tr>
    </w:tbl>
    <w:p/>
    <w:p>
      <w:r>
        <w:t>Consumer reports (08/10/2026): Fahad 731, own facilities current, guaranteed facility of Naseem Lab Systems Co. substandard; Majed 748, current. Al Rimal Commercial Bank's offer letter (10/02/2026) is secured by Fahad's guarantee only, with no mortgage: the Bank alone holds the warehouse.</w:t>
      </w:r>
    </w:p>
    <w:p>
      <w:pPr>
        <w:spacing w:before="160"/>
      </w:pPr>
      <w:r>
        <w:rPr>
          <w:b/>
          <w:color w:val="1D3557"/>
          <w:sz w:val="22"/>
        </w:rPr>
        <w:t>Effects of the current market situation</w:t>
      </w:r>
    </w:p>
    <w:p>
      <w:r>
        <w:t>Imports are 46.5% of FY2025 purchases (Germany 26.9%, Malaysia 19.6%). As per business, sea freight and lead times rose in 2025-26 on the Red Sea routing; inventory days are 100 at 30/09/2026 (FY2024 109), so no build-up of stock is visible. Government hospital clusters (18.4% of sales) pay in 90-120 days; a slowdown in government payments would lengthen the cash cycle further. The SAR peg removes currency risk on USD purchases; EUR purchases (Germany) are not hedged (not clarified by business).</w:t>
      </w:r>
    </w:p>
    <w:p>
      <w:pPr>
        <w:spacing w:before="160"/>
      </w:pPr>
      <w:r>
        <w:rPr>
          <w:b/>
          <w:color w:val="1D3557"/>
          <w:sz w:val="22"/>
        </w:rPr>
        <w:t>Exceptions and other observations</w:t>
      </w:r>
    </w:p>
    <w:p>
      <w:pPr>
        <w:pStyle w:val="ListBullet"/>
      </w:pPr>
      <w:r>
        <w:t>Exception: group exposure SAR 151.5m above the cap of SAR 110.0m (increase to SAR 155.0m requested).</w:t>
      </w:r>
    </w:p>
    <w:p>
      <w:pPr>
        <w:pStyle w:val="ListBullet"/>
      </w:pPr>
      <w:r>
        <w:t>Existing conditions not complied: related-party trading not reported; valuation not renewed.</w:t>
      </w:r>
    </w:p>
    <w:p>
      <w:pPr>
        <w:pStyle w:val="ListBullet"/>
      </w:pPr>
      <w:r>
        <w:t>Related-party sales of SAR 78.0m presented as third-party; the distributor's financials and trade licence not provided.</w:t>
      </w:r>
    </w:p>
    <w:p>
      <w:pPr>
        <w:pStyle w:val="ListBullet"/>
      </w:pPr>
      <w:r>
        <w:t>What business says vs what credit could verify: 'growth of 38%' (booked; cash receipts +9%); 'third-party distributor' (owned by a director's son); 'no changes in ownership and no other facilities' (true for the borrower; the sister is classified at Al Rimal Commercial Bank).</w:t>
      </w:r>
    </w:p>
    <w:p>
      <w:pPr>
        <w:spacing w:before="160"/>
      </w:pPr>
      <w:r>
        <w:rPr>
          <w:b/>
          <w:color w:val="1D3557"/>
          <w:sz w:val="22"/>
        </w:rPr>
        <w:t>Key strengths</w:t>
      </w:r>
    </w:p>
    <w:p>
      <w:pPr>
        <w:pStyle w:val="ListBullet"/>
      </w:pPr>
      <w:r>
        <w:t>Relationship since 2017; 82% of receipts routed through the Bank; no past dues in 12 months; warehouse (FSV SAR 24.0m) mortgaged to the Bank only.</w:t>
      </w:r>
    </w:p>
    <w:p>
      <w:pPr>
        <w:pStyle w:val="ListBullet"/>
      </w:pPr>
      <w:r>
        <w:t>Outside the distributor, receivables of SAR 56.3m are spread over the Ministry cluster (SAR 27.9m), two private groups (SAR 17.4m) and 212 accounts (SAR 11.0m).</w:t>
      </w:r>
    </w:p>
    <w:p>
      <w:pPr>
        <w:pStyle w:val="ListBullet"/>
      </w:pPr>
      <w:r>
        <w:t>Import suppliers financed through the Bank's LCs (Nordmed 26.9%, Pacific Rim 19.6% of FY2025 purchases); LC line 61% used at 30/09/2026, no past dues.</w:t>
      </w:r>
    </w:p>
    <w:p>
      <w:pPr>
        <w:pStyle w:val="ListBullet"/>
      </w:pPr>
      <w:r>
        <w:t>Fahad Saad Al-Naseem's net worth outside the group SAR 53.2m (31/08/2026).</w:t>
      </w:r>
    </w:p>
    <w:p>
      <w:pPr>
        <w:spacing w:before="160"/>
      </w:pPr>
      <w:r>
        <w:rPr>
          <w:b/>
          <w:color w:val="1D3557"/>
          <w:sz w:val="22"/>
        </w:rPr>
        <w:t>CREDIT DIVISION RECOMMENDATION</w:t>
      </w:r>
    </w:p>
    <w:p>
      <w:r>
        <w:t>Credit division supports the renewal but not the full increase: the growth that justifies it is booked to a family-owned distributor that pays less than half of what it buys, and the group has a classified company that the request does not disclose.</w:t>
      </w:r>
    </w:p>
    <w:p>
      <w:pPr>
        <w:spacing w:after="40"/>
        <w:ind w:left="340" w:hanging="283"/>
      </w:pPr>
      <w:r>
        <w:t>1. Renew the facilities of SAR 95.0m for 12 months and the warehouse term loan (SAR 6.5m, running off).</w:t>
      </w:r>
    </w:p>
    <w:p>
      <w:pPr>
        <w:spacing w:after="40"/>
        <w:ind w:left="340" w:hanging="283"/>
      </w:pPr>
      <w:r>
        <w:t>2. Increase limited to SAR 15.0m: letters of credit SAR 30.0m to 40.0m and short-term Murabaha SAR 40.0m to 45.0m; trust receipts unchanged at SAR 15.0m; total facilities SAR 116.5m (requested 146.5).</w:t>
      </w:r>
    </w:p>
    <w:p>
      <w:pPr>
        <w:spacing w:after="40"/>
        <w:ind w:left="340" w:hanging="283"/>
      </w:pPr>
      <w:r>
        <w:t>3. Murabaha and trust receipts under a monthly borrowing base: 80% of receivables under 120 days excluding the distributor and related parties, plus 50% of inventory.</w:t>
      </w:r>
    </w:p>
    <w:p>
      <w:pPr>
        <w:spacing w:after="40"/>
        <w:ind w:left="340" w:hanging="283"/>
      </w:pPr>
      <w:r>
        <w:t>4. Group exposure cap SAR 125.0m (requested 155.0): borrower SAR 116.5m and Naseem Lab Systems Co. SAR 5.0m = SAR 121.5m.</w:t>
      </w:r>
    </w:p>
    <w:p>
      <w:pPr>
        <w:spacing w:after="40"/>
        <w:ind w:left="340" w:hanging="283"/>
      </w:pPr>
      <w:r>
        <w:t>5. Security as in section 3 (personal guarantees, corporate guarantee of the holding, warehouse mortgage, promissory note reduced to SAR 116.5m).</w:t>
      </w:r>
    </w:p>
    <w:p>
      <w:pPr>
        <w:spacing w:after="40"/>
        <w:ind w:left="340" w:hanging="283"/>
      </w:pPr>
      <w:r>
        <w:t>6. Internal rating: credit proposes BBB- (business: BBB unchanged) for the related-party concentration and the classified sister.</w:t>
      </w:r>
    </w:p>
    <w:p>
      <w:pPr>
        <w:spacing w:after="40"/>
        <w:ind w:left="340" w:hanging="283"/>
      </w:pPr>
      <w:r>
        <w:t>7. Naseem Lab Systems Co.: freeze the LG line at the outstanding SAR 4.2m; no new issuance; Early Warning watch.</w:t>
      </w:r>
    </w:p>
    <w:p>
      <w:pPr>
        <w:spacing w:after="40"/>
        <w:ind w:left="340" w:hanging="283"/>
      </w:pPr>
      <w:r>
        <w:t>8. Approval authority: Credit Committee.</w:t>
      </w:r>
    </w:p>
    <w:p>
      <w:r>
        <w:rPr>
          <w:b/>
        </w:rPr>
        <w:t>Additional conditions (prior to limit loading unless stated)</w:t>
      </w:r>
    </w:p>
    <w:p>
      <w:pPr>
        <w:spacing w:after="40"/>
        <w:ind w:left="340" w:hanging="283"/>
      </w:pPr>
      <w:r>
        <w:t>a) Prior to limit loading: written disclosure of Al Tayf Healthcare Trading Est. as a related party with its trade licence, ownership and 2025 accounts; RM to visit its Dammam warehouse.</w:t>
      </w:r>
    </w:p>
    <w:p>
      <w:pPr>
        <w:spacing w:after="40"/>
        <w:ind w:left="340" w:hanging="283"/>
      </w:pPr>
      <w:r>
        <w:t>b) Prior to limit loading: new warehouse valuation by a panel valuer.</w:t>
      </w:r>
    </w:p>
    <w:p>
      <w:pPr>
        <w:spacing w:after="40"/>
        <w:ind w:left="340" w:hanging="283"/>
      </w:pPr>
      <w:r>
        <w:t>c) Distributor receivable reduced to SAR 60.0m by 31/03/2027; sales to it beyond that on cash or LC terms; no new related-party customer without the Bank's consent.</w:t>
      </w:r>
    </w:p>
    <w:p>
      <w:pPr>
        <w:spacing w:after="40"/>
        <w:ind w:left="340" w:hanging="283"/>
      </w:pPr>
      <w:r>
        <w:t>d) Group to provide the regularisation plan of Naseem Lab Systems Co. with Al Rimal Commercial Bank within 60 days; no advances from the borrower to the sister (due from capped at SAR 5.0m).</w:t>
      </w:r>
    </w:p>
    <w:p>
      <w:pPr>
        <w:spacing w:after="40"/>
        <w:ind w:left="340" w:hanging="283"/>
      </w:pPr>
      <w:r>
        <w:t>e) Monthly receivables ageing and borrowing-base certificate signed by the Finance Manager; quarterly review by the regional head.</w:t>
      </w:r>
    </w:p>
    <w:tbl>
      <w:tblPr>
        <w:tblW w:type="auto" w:w="0"/>
        <w:tblLook w:firstColumn="1" w:firstRow="1" w:lastColumn="0" w:lastRow="0" w:noHBand="0" w:noVBand="1" w:val="04A0"/>
      </w:tblPr>
      <w:tblGrid>
        <w:gridCol w:w="3326"/>
        <w:gridCol w:w="3326"/>
        <w:gridCol w:w="3326"/>
      </w:tblGrid>
      <w:tr>
        <w:tc>
          <w:tcPr>
            <w:tcW w:type="dxa" w:w="3326"/>
          </w:tcPr>
          <w:p>
            <w:r>
              <w:br/>
              <w:br/>
              <w:t>______________________</w:t>
              <w:br/>
              <w:t>Lama Al-Mutairi</w:t>
              <w:br/>
              <w:t>Credit Analyst</w:t>
            </w:r>
          </w:p>
        </w:tc>
        <w:tc>
          <w:tcPr>
            <w:tcW w:type="dxa" w:w="3326"/>
          </w:tcPr>
          <w:p>
            <w:r>
              <w:br/>
              <w:br/>
              <w:t>______________________</w:t>
              <w:br/>
              <w:t>Abdullah Al-Zahrani</w:t>
              <w:br/>
              <w:t>VP Credit</w:t>
            </w:r>
          </w:p>
        </w:tc>
        <w:tc>
          <w:tcPr>
            <w:tcW w:type="dxa" w:w="3326"/>
          </w:tcPr>
          <w:p>
            <w:r>
              <w:br/>
              <w:br/>
              <w:t>______________________</w:t>
              <w:br/>
              <w:br/>
              <w:t>Chief Credit Officer</w:t>
            </w:r>
          </w:p>
        </w:tc>
      </w:tr>
    </w:tbl>
    <w:p>
      <w:r>
        <w:rPr>
          <w:b/>
        </w:rPr>
        <w:t>CRO review / comments</w:t>
      </w:r>
    </w:p>
    <w:p>
      <w:r>
        <w:t xml:space="preserve"> </w:t>
      </w:r>
    </w:p>
    <w:p>
      <w:r>
        <w:rPr>
          <w:b/>
        </w:rPr>
        <w:t>Credit committee approval / instructions</w:t>
      </w:r>
    </w:p>
    <w:p>
      <w:r>
        <w:t>Approval authority: Credit Committee.</w:t>
      </w:r>
    </w:p>
    <w:tbl>
      <w:tblPr>
        <w:tblW w:type="auto" w:w="0"/>
        <w:tblLook w:firstColumn="1" w:firstRow="1" w:lastColumn="0" w:lastRow="0" w:noHBand="0" w:noVBand="1" w:val="04A0"/>
      </w:tblPr>
      <w:tblGrid>
        <w:gridCol w:w="3326"/>
        <w:gridCol w:w="3326"/>
        <w:gridCol w:w="3326"/>
      </w:tblGrid>
      <w:tr>
        <w:tc>
          <w:tcPr>
            <w:tcW w:type="dxa" w:w="3326"/>
          </w:tcPr>
          <w:p>
            <w:r>
              <w:br/>
              <w:br/>
              <w:t>______________________</w:t>
              <w:br/>
              <w:br/>
              <w:t>Chairman, Credit Committee</w:t>
            </w:r>
          </w:p>
        </w:tc>
        <w:tc>
          <w:tcPr>
            <w:tcW w:type="dxa" w:w="3326"/>
          </w:tcPr>
          <w:p>
            <w:r>
              <w:br/>
              <w:br/>
              <w:t>______________________</w:t>
              <w:br/>
              <w:br/>
              <w:t>Member</w:t>
            </w:r>
          </w:p>
        </w:tc>
        <w:tc>
          <w:tcPr>
            <w:tcW w:type="dxa" w:w="3326"/>
          </w:tcPr>
          <w:p>
            <w:r>
              <w:br/>
              <w:br/>
              <w:t>______________________</w:t>
              <w:br/>
              <w:br/>
              <w:t>Member</w:t>
            </w:r>
          </w:p>
        </w:tc>
      </w:tr>
    </w:tbl>
    <w:sectPr w:rsidR="00FC693F" w:rsidRPr="0006063C" w:rsidSect="00034616">
      <w:headerReference w:type="default" r:id="rId9"/>
      <w:footerReference w:type="default" r:id="rId10"/>
      <w:pgSz w:w="11906" w:h="16838"/>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77777"/>
        <w:sz w:val="14"/>
      </w:rPr>
      <w:t>Fictional document (CreditProbe R16). All names and figures are invented.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D3557"/>
        <w:sz w:val="24"/>
      </w:rPr>
      <w:t>Sandstone Harbour Bank</w:t>
    </w:r>
  </w:p>
  <w:p>
    <w:r>
      <w:rPr>
        <w:sz w:val="15"/>
      </w:rPr>
      <w:t>Corporate Banking — Central Region · business request to Credit</w:t>
    </w:r>
  </w:p>
  <w:p>
    <w:r>
      <w:rPr>
        <w:sz w:val="15"/>
      </w:rPr>
      <w:t>Credit file request CFR/RUH/2026/0612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PROPOSAL — REFERENCE (BUSINESS REQUEST, CREDIT COMMENTS, RECOMMENDATION)</dc:title>
  <dc:subject/>
  <dc:creator>Sandstone Harbour Bank</dc:creator>
  <cp:keywords/>
  <dc:description>generated by python-docx</dc:description>
  <cp:lastModifiedBy/>
  <cp:revision>1</cp:revision>
  <dcterms:created xsi:type="dcterms:W3CDTF">2013-12-23T23:15:00Z</dcterms:created>
  <dcterms:modified xsi:type="dcterms:W3CDTF">2013-12-23T23:15:00Z</dcterms:modified>
  <cp:category/>
</cp:coreProperties>
</file>