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NATIONAL IDENTITY CARD</w:t>
      </w:r>
    </w:p>
    <w:p>
      <w:r>
        <w:t>Kingdom of Saudi Arabia · Civil Status (fictional specimen)</w:t>
      </w:r>
    </w:p>
    <w:p>
      <w:r>
        <w:rPr>
          <w:sz w:val="16"/>
        </w:rPr>
        <w:t>Copy provided for account and credit file of Dar Al Naseem Medical Supplies Co.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Fahad Saad Al-Naseem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1012345870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Nationality: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Saudi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birth: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22/07/1965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10/03/2022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09/03/2032</w:t>
            </w:r>
          </w:p>
        </w:tc>
      </w:tr>
    </w:tbl>
    <w:p>
      <w:r>
        <w:t>Holder: Fahad Saad Al-Naseem. Role in the company: Chairman and GM; 20% direct and 48% through Naseem Holding.</w:t>
      </w:r>
    </w:p>
    <w:p>
      <w:r>
        <w:rPr>
          <w:b/>
          <w:color w:val="1F5A3D"/>
        </w:rPr>
        <w:t>[ TRUE COPY OF ORIGINAL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Civil Status Registry (specimen)</w:t>
    </w:r>
  </w:p>
  <w:p>
    <w:r>
      <w:rPr>
        <w:sz w:val="15"/>
      </w:rPr>
      <w:t>Identity document copy certified by the customer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IDENTITY CARD</dc:title>
  <dc:subject/>
  <dc:creator>Civil Status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