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COMMERCIAL REGISTRATION CERTIFICATE</w:t>
      </w:r>
    </w:p>
    <w:p>
      <w:r>
        <w:t>Main registration (fictional specimen)</w:t>
      </w:r>
    </w:p>
    <w:p>
      <w:r>
        <w:rPr>
          <w:sz w:val="16"/>
        </w:rPr>
        <w:t>Registration printed on 02/10/2026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Legal form: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Limited Liability Company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Riyadh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Activity: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Wholesale of medical supplies and hospital equipment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15/02/2009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03/06/2027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Capital: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30,000,000</w:t>
            </w:r>
          </w:p>
        </w:tc>
      </w:tr>
    </w:tbl>
    <w:p>
      <w:pPr>
        <w:spacing w:before="160"/>
      </w:pPr>
      <w:r>
        <w:rPr>
          <w:b/>
          <w:color w:val="1F5A3D"/>
          <w:sz w:val="22"/>
        </w:rPr>
        <w:t>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Naseem Holding Co.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80.0%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Fahad Saad Al-Naseem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20.0%</w:t>
            </w:r>
          </w:p>
        </w:tc>
      </w:tr>
    </w:tbl>
    <w:p/>
    <w:p>
      <w:pPr>
        <w:spacing w:before="160"/>
      </w:pPr>
      <w:r>
        <w:rPr>
          <w:b/>
          <w:color w:val="1F5A3D"/>
          <w:sz w:val="22"/>
        </w:rPr>
        <w:t>Managers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3969"/>
      </w:tblGrid>
      <w:tr>
        <w:tc>
          <w:tcPr>
            <w:tcW w:type="dxa" w:w="595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>
              <w:rPr>
                <w:sz w:val="17"/>
              </w:rPr>
              <w:t>Fahad Saad Al-Naseem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Chairman and General Manager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>
              <w:rPr>
                <w:sz w:val="17"/>
              </w:rPr>
              <w:t>Majed Saad Al-Naseem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Director</w:t>
            </w:r>
          </w:p>
        </w:tc>
      </w:tr>
    </w:tbl>
    <w:p/>
    <w:p>
      <w:r>
        <w:rPr>
          <w:b/>
          <w:color w:val="1F5A3D"/>
        </w:rPr>
        <w:t>[ VALID REGISTRATION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Commercial Register (specimen)</w:t>
    </w:r>
  </w:p>
  <w:p>
    <w:r>
      <w:rPr>
        <w:sz w:val="15"/>
      </w:rPr>
      <w:t>Riyadh registry office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REGISTRATION CERTIFICATE</dc:title>
  <dc:subject/>
  <dc:creator>Commercial Register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