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5563"/>
          <w:sz w:val="30"/>
        </w:rPr>
        <w:t>SIMAH CONSUMER CREDIT REPORT</w:t>
      </w:r>
    </w:p>
    <w:p>
      <w:r>
        <w:t>Fahad Saad Al-Naseem</w:t>
      </w:r>
    </w:p>
    <w:p>
      <w:r>
        <w:rPr>
          <w:sz w:val="16"/>
        </w:rPr>
        <w:t>Report SC-26-8790311 dated 08/10/2026 · consent on file</w:t>
      </w:r>
    </w:p>
    <w:p>
      <w:pPr>
        <w:spacing w:before="160"/>
      </w:pPr>
      <w:r>
        <w:rPr>
          <w:b/>
          <w:color w:val="0B5563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Fahad Saad Al-Naseem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ID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1012345870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Report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08/10/2026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Report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SC-26-8790311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Score: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731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outstanding: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3,132,000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overdue: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Worst status (24 months):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Current on own facilities; guaranteed facility substandard</w:t>
            </w:r>
          </w:p>
        </w:tc>
      </w:tr>
    </w:tbl>
    <w:p>
      <w:pPr>
        <w:spacing w:before="160"/>
      </w:pPr>
      <w:r>
        <w:rPr>
          <w:b/>
          <w:color w:val="0B5563"/>
          <w:sz w:val="22"/>
        </w:rPr>
        <w:t>Credit facilities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6"/>
        <w:gridCol w:w="1488"/>
        <w:gridCol w:w="1191"/>
        <w:gridCol w:w="1290"/>
        <w:gridCol w:w="1091"/>
        <w:gridCol w:w="1191"/>
        <w:gridCol w:w="1885"/>
      </w:tblGrid>
      <w:tr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Lender</w:t>
            </w:r>
          </w:p>
        </w:tc>
        <w:tc>
          <w:tcPr>
            <w:tcW w:type="dxa" w:w="1488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Product</w:t>
            </w:r>
          </w:p>
        </w:tc>
        <w:tc>
          <w:tcPr>
            <w:tcW w:type="dxa" w:w="11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Limit</w:t>
            </w:r>
          </w:p>
        </w:tc>
        <w:tc>
          <w:tcPr>
            <w:tcW w:type="dxa" w:w="129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Outstanding</w:t>
            </w:r>
          </w:p>
        </w:tc>
        <w:tc>
          <w:tcPr>
            <w:tcW w:type="dxa" w:w="10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Overdue</w:t>
            </w:r>
          </w:p>
        </w:tc>
        <w:tc>
          <w:tcPr>
            <w:tcW w:type="dxa" w:w="11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Status</w:t>
            </w:r>
          </w:p>
        </w:tc>
        <w:tc>
          <w:tcPr>
            <w:tcW w:type="dxa" w:w="1885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Remark</w:t>
            </w:r>
          </w:p>
        </w:tc>
      </w:tr>
      <w:tr>
        <w:tc>
          <w:tcPr>
            <w:tcW w:type="dxa" w:w="1786"/>
          </w:tcPr>
          <w:p>
            <w:pPr>
              <w:spacing w:after="0"/>
            </w:pPr>
            <w:r>
              <w:rPr>
                <w:sz w:val="15"/>
              </w:rPr>
              <w:t>Sandstone Harbour Bank</w:t>
            </w:r>
          </w:p>
        </w:tc>
        <w:tc>
          <w:tcPr>
            <w:tcW w:type="dxa" w:w="1488"/>
          </w:tcPr>
          <w:p>
            <w:pPr>
              <w:spacing w:after="0"/>
            </w:pPr>
            <w:r>
              <w:rPr>
                <w:sz w:val="15"/>
              </w:rPr>
              <w:t>Credit card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150,000</w:t>
            </w:r>
          </w:p>
        </w:tc>
        <w:tc>
          <w:tcPr>
            <w:tcW w:type="dxa" w:w="1290"/>
          </w:tcPr>
          <w:p>
            <w:pPr>
              <w:spacing w:after="0"/>
              <w:jc w:val="right"/>
            </w:pPr>
            <w:r>
              <w:rPr>
                <w:sz w:val="15"/>
              </w:rPr>
              <w:t>32,000</w:t>
            </w:r>
          </w:p>
        </w:tc>
        <w:tc>
          <w:tcPr>
            <w:tcW w:type="dxa" w:w="1091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Current</w:t>
            </w:r>
          </w:p>
        </w:tc>
        <w:tc>
          <w:tcPr>
            <w:tcW w:type="dxa" w:w="1885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1786"/>
          </w:tcPr>
          <w:p>
            <w:pPr>
              <w:spacing w:after="0"/>
            </w:pPr>
            <w:r>
              <w:rPr>
                <w:sz w:val="15"/>
              </w:rPr>
              <w:t>Al Rimal Commercial Bank</w:t>
            </w:r>
          </w:p>
        </w:tc>
        <w:tc>
          <w:tcPr>
            <w:tcW w:type="dxa" w:w="1488"/>
          </w:tcPr>
          <w:p>
            <w:pPr>
              <w:spacing w:after="0"/>
            </w:pPr>
            <w:r>
              <w:rPr>
                <w:sz w:val="15"/>
              </w:rPr>
              <w:t>Real-estate finance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4,800,000</w:t>
            </w:r>
          </w:p>
        </w:tc>
        <w:tc>
          <w:tcPr>
            <w:tcW w:type="dxa" w:w="1290"/>
          </w:tcPr>
          <w:p>
            <w:pPr>
              <w:spacing w:after="0"/>
              <w:jc w:val="right"/>
            </w:pPr>
            <w:r>
              <w:rPr>
                <w:sz w:val="15"/>
              </w:rPr>
              <w:t>3,100,000</w:t>
            </w:r>
          </w:p>
        </w:tc>
        <w:tc>
          <w:tcPr>
            <w:tcW w:type="dxa" w:w="1091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Current</w:t>
            </w:r>
          </w:p>
        </w:tc>
        <w:tc>
          <w:tcPr>
            <w:tcW w:type="dxa" w:w="1885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/>
    <w:p>
      <w:pPr>
        <w:spacing w:before="160"/>
      </w:pPr>
      <w:r>
        <w:rPr>
          <w:b/>
          <w:color w:val="0B5563"/>
          <w:sz w:val="22"/>
        </w:rPr>
        <w:t>Guarantees given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2"/>
        <w:gridCol w:w="2480"/>
        <w:gridCol w:w="1984"/>
        <w:gridCol w:w="1984"/>
      </w:tblGrid>
      <w:tr>
        <w:tc>
          <w:tcPr>
            <w:tcW w:type="dxa" w:w="3472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Guaranteed party</w:t>
            </w:r>
          </w:p>
        </w:tc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Lender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Amount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3472"/>
          </w:tcPr>
          <w:p>
            <w:pPr>
              <w:spacing w:after="0"/>
            </w:pPr>
            <w:r>
              <w:rPr>
                <w:sz w:val="17"/>
              </w:rPr>
              <w:t>Dar Al Naseem Medical Supplies Co.</w:t>
            </w:r>
          </w:p>
        </w:tc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Sandstone Harbour Bank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95,000,000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Current</w:t>
            </w:r>
          </w:p>
        </w:tc>
      </w:tr>
      <w:tr>
        <w:tc>
          <w:tcPr>
            <w:tcW w:type="dxa" w:w="3472"/>
          </w:tcPr>
          <w:p>
            <w:pPr>
              <w:spacing w:after="0"/>
            </w:pPr>
            <w:r>
              <w:rPr>
                <w:sz w:val="17"/>
              </w:rPr>
              <w:t>Dar Al Naseem Medical Supplies Co.</w:t>
            </w:r>
          </w:p>
        </w:tc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Al Rimal Commercial Bank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45,000,000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Current</w:t>
            </w:r>
          </w:p>
        </w:tc>
      </w:tr>
      <w:tr>
        <w:tc>
          <w:tcPr>
            <w:tcW w:type="dxa" w:w="3472"/>
          </w:tcPr>
          <w:p>
            <w:pPr>
              <w:spacing w:after="0"/>
            </w:pPr>
            <w:r>
              <w:rPr>
                <w:sz w:val="17"/>
              </w:rPr>
              <w:t>Naseem Lab Systems Co.</w:t>
            </w:r>
          </w:p>
        </w:tc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Al Rimal Commercial Bank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22,000,000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Substandard (classified 07/2026)</w:t>
            </w:r>
          </w:p>
        </w:tc>
      </w:tr>
    </w:tbl>
    <w:p/>
    <w:p>
      <w:pPr>
        <w:spacing w:before="160"/>
      </w:pPr>
      <w:r>
        <w:rPr>
          <w:b/>
          <w:color w:val="0B5563"/>
          <w:sz w:val="22"/>
        </w:rPr>
        <w:t>Payment history (24 months)</w:t>
      </w:r>
    </w:p>
    <w:p>
      <w:r>
        <w:t>Own facilities current for 24 months. Guaranteed facility of Naseem Lab Systems Co. at Al Rimal Commercial Bank: 90+ days past due from 05/2026, classified substandard in 07/2026.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5563"/>
        <w:sz w:val="24"/>
      </w:rPr>
      <w:t>SIMAH credit bureau (specimen extract)</w:t>
    </w:r>
  </w:p>
  <w:p>
    <w:r>
      <w:rPr>
        <w:sz w:val="15"/>
      </w:rPr>
      <w:t>Consumer report · fictional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SIMAH CONSUMER CREDIT REPORT</dc:title>
  <dc:subject/>
  <dc:creator>SIMAH credit bureau (specimen extract)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