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2B3A55"/>
          <w:sz w:val="30"/>
        </w:rPr>
        <w:t>DAR AL NASEEM MEDICAL SUPPLIES CO. — FINANCIAL STATEMENTS FY2024</w:t>
      </w:r>
    </w:p>
    <w:p>
      <w:r>
        <w:t>INDEPENDENT AUDITOR'S REPORT AND STATEMENT OF FINANCIAL POSITION</w:t>
      </w:r>
    </w:p>
    <w:p>
      <w:r>
        <w:rPr>
          <w:sz w:val="16"/>
        </w:rPr>
        <w:t>For the year ended 31/12/2024</w:t>
      </w:r>
    </w:p>
    <w:p>
      <w:pPr>
        <w:spacing w:before="160"/>
      </w:pPr>
      <w:r>
        <w:rPr>
          <w:b/>
          <w:color w:val="2B3A55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Customer 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Dar Al Naseem Medical Supplies Co.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CR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1010384527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Financial year ended: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31/12/2024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Auditor: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Basma &amp; Partners Chartered Accountants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Audit opinion: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Unqualified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Qawaem filing reference: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QW-2025-1010384527</w:t>
            </w:r>
          </w:p>
        </w:tc>
      </w:tr>
    </w:tbl>
    <w:p>
      <w:pPr>
        <w:spacing w:before="160"/>
      </w:pPr>
      <w:r>
        <w:rPr>
          <w:b/>
          <w:color w:val="2B3A55"/>
          <w:sz w:val="22"/>
        </w:rPr>
        <w:t>Independent auditor's report</w:t>
      </w:r>
    </w:p>
    <w:p>
      <w:r>
        <w:t>In our opinion, the accompanying financial statements present fairly, in all material respects, the financial position of Dar Al Naseem Medical Supplies Co. as at 31/12/2024 and its financial performance and cash flows for the year then ended in accordance with IFRS as endorsed in the Kingdom.</w:t>
      </w:r>
    </w:p>
    <w:p>
      <w:r>
        <w:t>Basma &amp; Partners Chartered Accountants, Riyadh. Signed by Hani Al-Basma, licence 388, on 17/04/2025.</w:t>
      </w:r>
    </w:p>
    <w:p>
      <w:r>
        <w:br w:type="page"/>
      </w:r>
    </w:p>
    <w:p>
      <w:pPr>
        <w:spacing w:before="160"/>
      </w:pPr>
      <w:r>
        <w:rPr>
          <w:b/>
          <w:color w:val="2B3A55"/>
          <w:sz w:val="22"/>
        </w:rPr>
        <w:t>Statement of financial position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2183"/>
        <w:gridCol w:w="2183"/>
      </w:tblGrid>
      <w:tr>
        <w:tc>
          <w:tcPr>
            <w:tcW w:type="dxa" w:w="555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SAR</w:t>
            </w:r>
          </w:p>
        </w:tc>
        <w:tc>
          <w:tcPr>
            <w:tcW w:type="dxa" w:w="218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31/12/2024</w:t>
            </w:r>
          </w:p>
        </w:tc>
        <w:tc>
          <w:tcPr>
            <w:tcW w:type="dxa" w:w="218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31/12/2023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Cash and bank balances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11,400,000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9,800,000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Trade receivables, net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48,500,000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41,700,000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Inventories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41,200,000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36,500,000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Due from related parties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3,100,000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2,200,000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Prepayments and other current assets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6,300,000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5,400,000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Total current assets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110,500,000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95,600,000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Property, plant and equipment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24,800,000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24,100,000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Other non-current assets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1,100,000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1,000,000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Total assets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136,400,000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120,700,000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Short-term borrowings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32,600,000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28,300,000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Trade payables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18,400,000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17,200,000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Due to related parties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1,000,000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900,000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Accruals and other current liabilities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8,600,000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1,200,000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Current portion of long-term borrowings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2,000,000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2,000,000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Total current liabilities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62,600,000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49,600,000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Long-term borrowings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8,000,000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10,000,000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Employees' end-of-service benefits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4,900,000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4,300,000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Total liabilities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75,500,000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63,900,000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Share capital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30,000,000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30,000,000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Statutory reserve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8,000,000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6,420,000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Retained earnings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22,900,000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20,380,000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Total equity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60,900,000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56,800,000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Total liabilities and equity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136,400,000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120,700,000</w:t>
            </w:r>
          </w:p>
        </w:tc>
      </w:tr>
    </w:tbl>
    <w:p/>
    <w:p>
      <w:pPr>
        <w:spacing w:before="160"/>
      </w:pPr>
      <w:r>
        <w:rPr>
          <w:b/>
          <w:color w:val="2B3A55"/>
          <w:sz w:val="22"/>
        </w:rPr>
        <w:t>Statement of profit or loss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556"/>
        <w:gridCol w:w="2183"/>
        <w:gridCol w:w="2183"/>
      </w:tblGrid>
      <w:tr>
        <w:tc>
          <w:tcPr>
            <w:tcW w:type="dxa" w:w="555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SAR</w:t>
            </w:r>
          </w:p>
        </w:tc>
        <w:tc>
          <w:tcPr>
            <w:tcW w:type="dxa" w:w="218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FY2024</w:t>
            </w:r>
          </w:p>
        </w:tc>
        <w:tc>
          <w:tcPr>
            <w:tcW w:type="dxa" w:w="218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FY2023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Revenue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182,400,000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158,900,000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Cost of revenue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137,700,000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119,500,000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Gross profit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44,700,000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39,400,000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Operating expenses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23,100,000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20,600,000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Operating profit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21,600,000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18,800,000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Finance cost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4,600,000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3,900,000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Zakat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1,200,000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1,000,000</w:t>
            </w:r>
          </w:p>
        </w:tc>
      </w:tr>
      <w:tr>
        <w:tc>
          <w:tcPr>
            <w:tcW w:type="dxa" w:w="5556"/>
          </w:tcPr>
          <w:p>
            <w:pPr>
              <w:spacing w:after="0"/>
            </w:pPr>
            <w:r>
              <w:rPr>
                <w:sz w:val="17"/>
              </w:rPr>
              <w:t>Net profit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15,800,000</w:t>
            </w:r>
          </w:p>
        </w:tc>
        <w:tc>
          <w:tcPr>
            <w:tcW w:type="dxa" w:w="2183"/>
          </w:tcPr>
          <w:p>
            <w:pPr>
              <w:spacing w:after="0"/>
              <w:jc w:val="right"/>
            </w:pPr>
            <w:r>
              <w:rPr>
                <w:sz w:val="17"/>
              </w:rPr>
              <w:t>13,900,000</w:t>
            </w:r>
          </w:p>
        </w:tc>
      </w:tr>
    </w:tbl>
    <w:p/>
    <w:p>
      <w:pPr>
        <w:spacing w:before="160"/>
      </w:pPr>
      <w:r>
        <w:rPr>
          <w:b/>
          <w:color w:val="2B3A55"/>
          <w:sz w:val="22"/>
        </w:rPr>
        <w:t>Statement of cash flows (summary)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548"/>
        <w:gridCol w:w="3373"/>
      </w:tblGrid>
      <w:tr>
        <w:tc>
          <w:tcPr>
            <w:tcW w:type="dxa" w:w="6548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SAR</w:t>
            </w:r>
          </w:p>
        </w:tc>
        <w:tc>
          <w:tcPr>
            <w:tcW w:type="dxa" w:w="3373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FY2024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Net profit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15,800,000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Depreciation and amortisation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3,200,000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Working capital changes and other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(4,000,000)</w:t>
            </w:r>
          </w:p>
        </w:tc>
      </w:tr>
      <w:tr>
        <w:tc>
          <w:tcPr>
            <w:tcW w:type="dxa" w:w="6548"/>
          </w:tcPr>
          <w:p>
            <w:pPr>
              <w:spacing w:after="0"/>
            </w:pPr>
            <w:r>
              <w:rPr>
                <w:sz w:val="17"/>
              </w:rPr>
              <w:t>Net cash from operating activities</w:t>
            </w:r>
          </w:p>
        </w:tc>
        <w:tc>
          <w:tcPr>
            <w:tcW w:type="dxa" w:w="3373"/>
          </w:tcPr>
          <w:p>
            <w:pPr>
              <w:spacing w:after="0"/>
              <w:jc w:val="right"/>
            </w:pPr>
            <w:r>
              <w:rPr>
                <w:sz w:val="17"/>
              </w:rPr>
              <w:t>15,000,000</w:t>
            </w:r>
          </w:p>
        </w:tc>
      </w:tr>
    </w:tbl>
    <w:p/>
    <w:p>
      <w:r>
        <w:br w:type="page"/>
      </w:r>
    </w:p>
    <w:p>
      <w:pPr>
        <w:spacing w:before="160"/>
      </w:pPr>
      <w:r>
        <w:rPr>
          <w:b/>
          <w:color w:val="2B3A55"/>
          <w:sz w:val="22"/>
        </w:rPr>
        <w:t>Selected notes</w:t>
      </w:r>
    </w:p>
    <w:p>
      <w:r>
        <w:rPr>
          <w:b/>
        </w:rPr>
        <w:t>Note 8 — Trade receivables</w:t>
      </w:r>
    </w:p>
    <w:p>
      <w:r>
        <w:t>Trade receivables SAR 48,500,000 (2023: 41,700,000), net of an allowance of SAR 1,900,000; government hospitals 41%, private hospitals and clinics 52%, pharmacies 7%.</w:t>
      </w:r>
    </w:p>
    <w:p>
      <w:r>
        <w:rPr>
          <w:b/>
        </w:rPr>
        <w:t>Note 15 — Related parties</w:t>
      </w:r>
    </w:p>
    <w:p>
      <w:r>
        <w:t>Due from Naseem Lab Systems Co. (a fellow subsidiary of Naseem Holding Co.) SAR 3,100,000 for equipment servicing.</w:t>
      </w:r>
    </w:p>
    <w:p>
      <w:r>
        <w:rPr>
          <w:b/>
        </w:rPr>
        <w:t>Note 17 — Borrowings</w:t>
      </w:r>
    </w:p>
    <w:p>
      <w:r>
        <w:t>Short-term Murabaha and trust receipts with two banks SAR 32,600,000; long-term loan secured by a mortgage over the company's warehouse in favour of Sandstone Harbour Bank.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2B3A55"/>
        <w:sz w:val="24"/>
      </w:rPr>
      <w:t>Basma &amp; Partners Chartered Accountants</w:t>
    </w:r>
  </w:p>
  <w:p>
    <w:r>
      <w:rPr>
        <w:sz w:val="15"/>
      </w:rPr>
      <w:t>Certified public accountants · Riyadh</w:t>
    </w:r>
  </w:p>
  <w:p>
    <w:r>
      <w:rPr>
        <w:sz w:val="15"/>
      </w:rPr>
      <w:t>Qawaem filing QW-2025-1010384527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DAR AL NASEEM MEDICAL SUPPLIES CO. — FINANCIAL STATEMENTS FY2024</dc:title>
  <dc:subject/>
  <dc:creator>Basma &amp; Partners Chartered Accountants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