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STATEMENT OF FACILITIES</w:t>
      </w:r>
    </w:p>
    <w:p>
      <w:r>
        <w:t>Dar Al Naseem Medical Supplies Co.</w:t>
      </w:r>
    </w:p>
    <w:p>
      <w:r>
        <w:rPr>
          <w:sz w:val="16"/>
        </w:rPr>
        <w:t>As at 30/09/2026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Al Rimal Commercial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Statement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limits: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45,000,000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37,800,000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687"/>
        <w:gridCol w:w="1687"/>
        <w:gridCol w:w="1389"/>
        <w:gridCol w:w="1984"/>
      </w:tblGrid>
      <w:tr>
        <w:tc>
          <w:tcPr>
            <w:tcW w:type="dxa" w:w="317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Overdue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Maturity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Short-term Murabaha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29,100,000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rolling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Letters of credit (sight / usance 90 days)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8,700,000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per LC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Al Rimal Commercial Bank</w:t>
    </w:r>
  </w:p>
  <w:p>
    <w:r>
      <w:rPr>
        <w:sz w:val="15"/>
      </w:rPr>
      <w:t>Liability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FACILITIES</dc:title>
  <dc:subject/>
  <dc:creator>Al Rimal Commercial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