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RECEIVABLES AGEING</w:t>
      </w:r>
    </w:p>
    <w:p>
      <w:r>
        <w:t>As at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receivables: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148,900,000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0-90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79,000,000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91-180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46,500,000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181-365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23,400,000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Over 365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389"/>
        <w:gridCol w:w="1389"/>
        <w:gridCol w:w="1389"/>
        <w:gridCol w:w="1389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0-90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91-180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181-365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 365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Al Tayf Healthcare Trading Est.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37,900,000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34,800,000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19,900,000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92,600,000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Ministry hospitals cluster (central region)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17,600,000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8,100,000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27,900,000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Riyadh Care Private Hospitals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9,700,000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10,800,000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Al Shifa Medical Group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Other hospitals, clinics and pharmacies (212 accounts)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7,600,000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11,000,000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79,000,000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46,500,000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23,400,000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148,900,000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Dar Al Naseem Medical Supplies Co.</w:t>
    </w:r>
  </w:p>
  <w:p>
    <w:r>
      <w:rPr>
        <w:sz w:val="15"/>
      </w:rPr>
      <w:t>CR 1010384527 · VAT 300384527100003 · Prince Mohammed bin Saad Road, Al Sulay, Riyadh 14322</w:t>
    </w:r>
  </w:p>
  <w:p>
    <w:r>
      <w:rPr>
        <w:sz w:val="15"/>
      </w:rPr>
      <w:t>Tel +966 11 255 7130 · accounts@daralnaseem.example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RECEIVABLES AGEING</dc:title>
  <dc:subject/>
  <dc:creator>Dar Al Naseem Medical Supplies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