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VALUATION REPORT</w:t>
      </w:r>
    </w:p>
    <w:p>
      <w:r>
        <w:t>Warehouse and offices, plot 18/4, Second Industrial City, Riyadh (6,200 sq m land)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Property: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Warehouse and offices, plot 18/4, Second Industrial City, Riyadh (6,200 sq m land)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Registered owner: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Title deed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310118004427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Valuer: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Masdar Real Estate Valuation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Valuation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14/08/2025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Market value: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31,500,000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Forced-sale value: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24,000,000</w:t>
            </w:r>
          </w:p>
        </w:tc>
      </w:tr>
    </w:tbl>
    <w:p>
      <w:r>
        <w:t>Industrial plot with a 4,800 sq m warehouse (2015) and two-storey offices. Comparable method and cost approach.</w:t>
      </w:r>
    </w:p>
    <w:p>
      <w:r>
        <w:t>Market value SAR 31,500,000; forced-sale value SAR 24,000,000 (76%). Valid for 12 months from the valuation 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Sami Al-Rowais</w:t>
              <w:br/>
              <w:t>Valuer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Masdar Real Estate Valuation Co.</w:t>
    </w:r>
  </w:p>
  <w:p>
    <w:r>
      <w:rPr>
        <w:sz w:val="15"/>
      </w:rPr>
      <w:t>Accredited real-estate valuer (fictional)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VALUATION REPORT</dc:title>
  <dc:subject/>
  <dc:creator>Masdar Real Estate Valuation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