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3415C"/>
          <w:sz w:val="30"/>
        </w:rPr>
        <w:t>INSURANCE POLICY SCHEDULE</w:t>
      </w:r>
    </w:p>
    <w:p>
      <w:pPr>
        <w:spacing w:before="160"/>
      </w:pPr>
      <w:r>
        <w:rPr>
          <w:b/>
          <w:color w:val="33415C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Policy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PAR-26-551902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Insured: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Dar Al Naseem Medical Supplies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Insurer: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Najm Al Khaleej Cooperative Insurance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Property insured: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Warehouse and offices, plot 18/4, Second Industrial City, Riyadh (6,200 sq m land)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Sum insured: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28,000,000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Loss payee: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Sandstone Harbour Bank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Period from: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01/03/2026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Period to: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28/02/2027</w:t>
            </w:r>
          </w:p>
        </w:tc>
      </w:tr>
    </w:tbl>
    <w:p>
      <w:r>
        <w:t>Property all risks including fire and allied perils.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33415C"/>
        <w:sz w:val="24"/>
      </w:rPr>
      <w:t>Najm Al Khaleej Cooperative Insurance Co.</w:t>
    </w:r>
  </w:p>
  <w:p>
    <w:r>
      <w:rPr>
        <w:sz w:val="15"/>
      </w:rPr>
      <w:t>Property all risks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INSURANCE POLICY SCHEDULE</dc:title>
  <dc:subject/>
  <dc:creator>Najm Al Khaleej Cooperative Insurance Co.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