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5A1E"/>
          <w:sz w:val="30"/>
        </w:rPr>
        <w:t>SITE VISIT REPORT</w:t>
      </w:r>
    </w:p>
    <w:p>
      <w:pPr>
        <w:spacing w:before="160"/>
      </w:pPr>
      <w:r>
        <w:rPr>
          <w:b/>
          <w:color w:val="7A5A1E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Nawaf Al-Otaibi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Met with: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Saad Al-Naseem; Rania Yousef Khoury (Finance Manager)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Premises: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Head office and warehouse, Second Industrial City, Riyadh (owned)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Staff observed: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Observations: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Warehouse well stocked and organised; cold-chain room in use; fleet of 22 delivery vans.</w:t>
            </w:r>
          </w:p>
        </w:tc>
      </w:tr>
    </w:tbl>
    <w:p>
      <w:pPr>
        <w:spacing w:before="160"/>
      </w:pPr>
      <w:r>
        <w:rPr>
          <w:b/>
          <w:color w:val="7A5A1E"/>
          <w:sz w:val="22"/>
        </w:rPr>
        <w:t>Observations</w:t>
      </w:r>
    </w:p>
    <w:p>
      <w:pPr>
        <w:pStyle w:val="ListBullet"/>
      </w:pPr>
      <w:r>
        <w:t>Warehouse about 85% full; inventory system with batch and expiry tracking; management states slow-moving stock below 3%.</w:t>
      </w:r>
    </w:p>
    <w:p>
      <w:pPr>
        <w:pStyle w:val="ListBullet"/>
      </w:pPr>
      <w:r>
        <w:t>Growth since 2025 driven by the regional distributor Al Tayf Healthcare Trading Est. (Dammam and Abha warehouses, as per management).</w:t>
      </w:r>
    </w:p>
    <w:p>
      <w:pPr>
        <w:pStyle w:val="ListBullet"/>
      </w:pPr>
      <w:r>
        <w:t>Management plans to add a second warehouse in Dammam in 2027.</w:t>
      </w:r>
    </w:p>
    <w:p>
      <w:pPr>
        <w:pStyle w:val="ListBullet"/>
      </w:pPr>
      <w:r>
        <w:t>No adverse observation.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Nawaf Al-Otaibi</w:t>
              <w:br/>
              <w:t>Relationship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A5A1E"/>
        <w:sz w:val="24"/>
      </w:rPr>
      <w:t>Sandstone Harbour Bank</w:t>
    </w:r>
  </w:p>
  <w:p>
    <w:r>
      <w:rPr>
        <w:sz w:val="15"/>
      </w:rPr>
      <w:t>Corporate Banking · Relationship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REPORT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