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4A4A"/>
          <w:sz w:val="30"/>
        </w:rPr>
        <w:t>AML / KYC QUESTIONNAIRE</w:t>
      </w:r>
    </w:p>
    <w:p>
      <w:pPr>
        <w:spacing w:before="160"/>
      </w:pPr>
      <w:r>
        <w:rPr>
          <w:b/>
          <w:color w:val="4A4A4A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Completed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Politically exposed person: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Countries of trade: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KSA; imports from Germany, Malaysia, USA, China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Cash-intensive business: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risk rating: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Low</w:t>
            </w:r>
          </w:p>
        </w:tc>
      </w:tr>
    </w:tbl>
    <w:p>
      <w:pPr>
        <w:spacing w:before="160"/>
      </w:pPr>
      <w:r>
        <w:rPr>
          <w:b/>
          <w:color w:val="4A4A4A"/>
          <w:sz w:val="22"/>
        </w:rPr>
        <w:t>Ultimate beneficial owners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1"/>
        <w:gridCol w:w="2480"/>
        <w:gridCol w:w="2480"/>
      </w:tblGrid>
      <w:tr>
        <w:tc>
          <w:tcPr>
            <w:tcW w:type="dxa" w:w="496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Name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Ownership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PEP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Fahad Saad Al-Naseem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68.0%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  <w:tr>
        <w:tc>
          <w:tcPr>
            <w:tcW w:type="dxa" w:w="4961"/>
          </w:tcPr>
          <w:p>
            <w:pPr>
              <w:spacing w:after="0"/>
            </w:pPr>
            <w:r>
              <w:rPr>
                <w:sz w:val="17"/>
              </w:rPr>
              <w:t>Majed Saad Al-Naseem</w:t>
            </w:r>
          </w:p>
        </w:tc>
        <w:tc>
          <w:tcPr>
            <w:tcW w:type="dxa" w:w="2480"/>
          </w:tcPr>
          <w:p>
            <w:pPr>
              <w:spacing w:after="0"/>
              <w:jc w:val="right"/>
            </w:pPr>
            <w:r>
              <w:rPr>
                <w:sz w:val="17"/>
              </w:rPr>
              <w:t>32.0%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No</w:t>
            </w:r>
          </w:p>
        </w:tc>
      </w:tr>
    </w:tbl>
    <w:p/>
    <w:p>
      <w:r>
        <w:t>Related entities declared: Naseem Holding Co. (parent), Naseem Lab Systems Co. (sister). No other related parties declared.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Fahad Saad Al-Naseem</w:t>
              <w:br/>
              <w:t>Authorised signatory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4A4A4A"/>
        <w:sz w:val="24"/>
      </w:rPr>
      <w:t>Sandstone Harbour Bank</w:t>
    </w:r>
  </w:p>
  <w:p>
    <w:r>
      <w:rPr>
        <w:sz w:val="15"/>
      </w:rPr>
      <w:t>Compliance · customer due diligence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AML / KYC QUESTIONNAIRE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