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COMMERCIAL CREDIT REPORT</w:t>
      </w:r>
    </w:p>
    <w:p>
      <w:r>
        <w:t>Sawaed Al Bina Contracting Co.</w:t>
      </w:r>
    </w:p>
    <w:p>
      <w:r>
        <w:rPr>
          <w:sz w:val="16"/>
        </w:rPr>
        <w:t>Report SB-26-3301872 dated 11/10/2026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Sawaed Al Bina Contracting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2050117342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SB-26-3301872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655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limits: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300,250,000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254,550,000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Number of lenders: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Defaults: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Enquiries (last 6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7"/>
        <w:gridCol w:w="1389"/>
        <w:gridCol w:w="1091"/>
        <w:gridCol w:w="1191"/>
        <w:gridCol w:w="893"/>
        <w:gridCol w:w="1091"/>
        <w:gridCol w:w="992"/>
        <w:gridCol w:w="1687"/>
      </w:tblGrid>
      <w:tr>
        <w:tc>
          <w:tcPr>
            <w:tcW w:type="dxa" w:w="15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389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89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99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Opened</w:t>
            </w:r>
          </w:p>
        </w:tc>
        <w:tc>
          <w:tcPr>
            <w:tcW w:type="dxa" w:w="1687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Advance payment guarantees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25,000,000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19,400,000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20/03/2016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Performance bonds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45,000,000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41,200,000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20/03/2016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credit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20,000,000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6,300,000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20/03/2016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Murabaha against payment certificates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50,000,000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47,800,000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20/03/2016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Overdraft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20,000,000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14,900,000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20/03/2016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Arabian Crescent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Short-term Murabaha (working capital)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50,000,000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46,300,000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01/09/2019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Arabian Crescent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Letters of guarantee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70,000,000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58,400,000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01/09/2019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587"/>
          </w:tcPr>
          <w:p>
            <w:pPr>
              <w:spacing w:after="0"/>
            </w:pPr>
            <w:r>
              <w:rPr>
                <w:sz w:val="15"/>
              </w:rPr>
              <w:t>Arabian Crescent Bank</w:t>
            </w:r>
          </w:p>
        </w:tc>
        <w:tc>
          <w:tcPr>
            <w:tcW w:type="dxa" w:w="1389"/>
          </w:tcPr>
          <w:p>
            <w:pPr>
              <w:spacing w:after="0"/>
            </w:pPr>
            <w:r>
              <w:rPr>
                <w:sz w:val="15"/>
              </w:rPr>
              <w:t>Term loan (equipment)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20,250,000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20,250,000</w:t>
            </w:r>
          </w:p>
        </w:tc>
        <w:tc>
          <w:tcPr>
            <w:tcW w:type="dxa" w:w="893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0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992"/>
          </w:tcPr>
          <w:p>
            <w:pPr>
              <w:spacing w:after="0"/>
            </w:pPr>
            <w:r>
              <w:rPr>
                <w:sz w:val="15"/>
              </w:rPr>
              <w:t>01/09/2019</w:t>
            </w:r>
          </w:p>
        </w:tc>
        <w:tc>
          <w:tcPr>
            <w:tcW w:type="dxa" w:w="1687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No delinquency on the company's own facilities in the last 24 months. Related entity reporting is not part of this report.</w:t>
      </w:r>
    </w:p>
    <w:p>
      <w:pPr>
        <w:spacing w:before="160"/>
      </w:pPr>
      <w:r>
        <w:rPr>
          <w:b/>
          <w:color w:val="0B5563"/>
          <w:sz w:val="22"/>
        </w:rPr>
        <w:t>Enquiries</w:t>
      </w:r>
    </w:p>
    <w:p>
      <w:r>
        <w:t>3 enquiries in the last 6 months: Sandstone Harbour Bank (10/2026), Arabian Crescent Bank (08/2026), Coastal Gulf Bank (06/2026).</w:t>
      </w:r>
    </w:p>
    <w:p>
      <w:pPr>
        <w:spacing w:before="160"/>
      </w:pPr>
      <w:r>
        <w:rPr>
          <w:b/>
          <w:color w:val="0B5563"/>
          <w:sz w:val="22"/>
        </w:rPr>
        <w:t>Legal and court records</w:t>
      </w:r>
    </w:p>
    <w:p>
      <w:r>
        <w:t>None recorded.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Commercial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COMMERCIAL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