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5563"/>
          <w:sz w:val="30"/>
        </w:rPr>
        <w:t>SIMAH CONSUMER CREDIT REPORT</w:t>
      </w:r>
    </w:p>
    <w:p>
      <w:r>
        <w:t>Turki Hamad Al-Sawaed</w:t>
      </w:r>
    </w:p>
    <w:p>
      <w:r>
        <w:rPr>
          <w:sz w:val="16"/>
        </w:rPr>
        <w:t>Report SC-26-8812450 dated 11/10/2026 · consent on file</w:t>
      </w:r>
    </w:p>
    <w:p>
      <w:pPr>
        <w:spacing w:before="160"/>
      </w:pPr>
      <w:r>
        <w:rPr>
          <w:b/>
          <w:color w:val="0B5563"/>
          <w:sz w:val="22"/>
        </w:rPr>
        <w:t>Key details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948"/>
        <w:gridCol w:w="6973"/>
      </w:tblGrid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Name: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Turki Hamad Al-Sawaed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ID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1034578210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date: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11/10/2026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Report number: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SC-26-8812450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Score: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706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outstanding: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2,124,000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Total overdue: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SAR 0</w:t>
            </w:r>
          </w:p>
        </w:tc>
      </w:tr>
      <w:tr>
        <w:tc>
          <w:tcPr>
            <w:tcW w:type="dxa" w:w="2948"/>
            <w:shd w:val="clear" w:color="auto" w:fill="f3f1ec"/>
          </w:tcPr>
          <w:p>
            <w:r>
              <w:rPr>
                <w:b/>
                <w:sz w:val="17"/>
              </w:rPr>
              <w:t>Worst status (24 months):</w:t>
            </w:r>
          </w:p>
        </w:tc>
        <w:tc>
          <w:tcPr>
            <w:tcW w:type="dxa" w:w="6973"/>
          </w:tcPr>
          <w:p>
            <w:r>
              <w:rPr>
                <w:sz w:val="17"/>
              </w:rPr>
              <w:t>Current (no delinquency)</w:t>
            </w:r>
          </w:p>
        </w:tc>
      </w:tr>
    </w:tbl>
    <w:p>
      <w:pPr>
        <w:spacing w:before="160"/>
      </w:pPr>
      <w:r>
        <w:rPr>
          <w:b/>
          <w:color w:val="0B5563"/>
          <w:sz w:val="22"/>
        </w:rPr>
        <w:t>Credit facilities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86"/>
        <w:gridCol w:w="1488"/>
        <w:gridCol w:w="1191"/>
        <w:gridCol w:w="1290"/>
        <w:gridCol w:w="1091"/>
        <w:gridCol w:w="1191"/>
        <w:gridCol w:w="1885"/>
      </w:tblGrid>
      <w:tr>
        <w:tc>
          <w:tcPr>
            <w:tcW w:type="dxa" w:w="1786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Lender</w:t>
            </w:r>
          </w:p>
        </w:tc>
        <w:tc>
          <w:tcPr>
            <w:tcW w:type="dxa" w:w="1488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Product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Limit</w:t>
            </w:r>
          </w:p>
        </w:tc>
        <w:tc>
          <w:tcPr>
            <w:tcW w:type="dxa" w:w="129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Outstanding</w:t>
            </w:r>
          </w:p>
        </w:tc>
        <w:tc>
          <w:tcPr>
            <w:tcW w:type="dxa" w:w="10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Overdue</w:t>
            </w:r>
          </w:p>
        </w:tc>
        <w:tc>
          <w:tcPr>
            <w:tcW w:type="dxa" w:w="1191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Status</w:t>
            </w:r>
          </w:p>
        </w:tc>
        <w:tc>
          <w:tcPr>
            <w:tcW w:type="dxa" w:w="1885"/>
            <w:shd w:val="clear" w:color="auto" w:fill="e9e6df"/>
          </w:tcPr>
          <w:p>
            <w:pPr>
              <w:spacing w:after="0"/>
            </w:pPr>
            <w:r>
              <w:rPr>
                <w:b/>
                <w:sz w:val="15"/>
              </w:rPr>
              <w:t>Remark</w:t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Sandstone Harbour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Personal finance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3,000,000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2,100,000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c>
          <w:tcPr>
            <w:tcW w:type="dxa" w:w="1786"/>
          </w:tcPr>
          <w:p>
            <w:pPr>
              <w:spacing w:after="0"/>
            </w:pPr>
            <w:r>
              <w:rPr>
                <w:sz w:val="15"/>
              </w:rPr>
              <w:t>Arabian Crescent Bank</w:t>
            </w:r>
          </w:p>
        </w:tc>
        <w:tc>
          <w:tcPr>
            <w:tcW w:type="dxa" w:w="1488"/>
          </w:tcPr>
          <w:p>
            <w:pPr>
              <w:spacing w:after="0"/>
            </w:pPr>
            <w:r>
              <w:rPr>
                <w:sz w:val="15"/>
              </w:rPr>
              <w:t>Credit card</w:t>
            </w:r>
          </w:p>
        </w:tc>
        <w:tc>
          <w:tcPr>
            <w:tcW w:type="dxa" w:w="1191"/>
          </w:tcPr>
          <w:p>
            <w:pPr>
              <w:spacing w:after="0"/>
              <w:jc w:val="right"/>
            </w:pPr>
            <w:r>
              <w:rPr>
                <w:sz w:val="15"/>
              </w:rPr>
              <w:t>100,000</w:t>
            </w:r>
          </w:p>
        </w:tc>
        <w:tc>
          <w:tcPr>
            <w:tcW w:type="dxa" w:w="1290"/>
          </w:tcPr>
          <w:p>
            <w:pPr>
              <w:spacing w:after="0"/>
              <w:jc w:val="right"/>
            </w:pPr>
            <w:r>
              <w:rPr>
                <w:sz w:val="15"/>
              </w:rPr>
              <w:t>24,000</w:t>
            </w:r>
          </w:p>
        </w:tc>
        <w:tc>
          <w:tcPr>
            <w:tcW w:type="dxa" w:w="1091"/>
          </w:tcPr>
          <w:p>
            <w:pPr>
              <w:spacing w:after="0"/>
              <w:jc w:val="right"/>
            </w:pPr>
            <w:r>
              <w:rPr>
                <w:sz w:val="15"/>
              </w:rPr>
              <w:t>0</w:t>
            </w:r>
          </w:p>
        </w:tc>
        <w:tc>
          <w:tcPr>
            <w:tcW w:type="dxa" w:w="1191"/>
          </w:tcPr>
          <w:p>
            <w:pPr>
              <w:spacing w:after="0"/>
            </w:pPr>
            <w:r>
              <w:rPr>
                <w:sz w:val="15"/>
              </w:rPr>
              <w:t>Current</w:t>
            </w:r>
          </w:p>
        </w:tc>
        <w:tc>
          <w:tcPr>
            <w:tcW w:type="dxa" w:w="1885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Guarantees given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72"/>
        <w:gridCol w:w="2480"/>
        <w:gridCol w:w="1984"/>
        <w:gridCol w:w="1984"/>
      </w:tblGrid>
      <w:tr>
        <w:tc>
          <w:tcPr>
            <w:tcW w:type="dxa" w:w="3472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Guaranteed party</w:t>
            </w:r>
          </w:p>
        </w:tc>
        <w:tc>
          <w:tcPr>
            <w:tcW w:type="dxa" w:w="2480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Lender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Amount</w:t>
            </w:r>
          </w:p>
        </w:tc>
        <w:tc>
          <w:tcPr>
            <w:tcW w:type="dxa" w:w="1984"/>
            <w:shd w:val="clear" w:color="auto" w:fill="e9e6df"/>
          </w:tcPr>
          <w:p>
            <w:pPr>
              <w:spacing w:after="0"/>
            </w:pPr>
            <w:r>
              <w:rPr>
                <w:b/>
                <w:sz w:val="17"/>
              </w:rPr>
              <w:t>Status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Sawaed Al Bina Contracting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Sandstone Harbour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160,000,000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  <w:tr>
        <w:tc>
          <w:tcPr>
            <w:tcW w:type="dxa" w:w="3472"/>
          </w:tcPr>
          <w:p>
            <w:pPr>
              <w:spacing w:after="0"/>
            </w:pPr>
            <w:r>
              <w:rPr>
                <w:sz w:val="17"/>
              </w:rPr>
              <w:t>Sawaed Al Bina Contracting Co.</w:t>
            </w:r>
          </w:p>
        </w:tc>
        <w:tc>
          <w:tcPr>
            <w:tcW w:type="dxa" w:w="2480"/>
          </w:tcPr>
          <w:p>
            <w:pPr>
              <w:spacing w:after="0"/>
            </w:pPr>
            <w:r>
              <w:rPr>
                <w:sz w:val="17"/>
              </w:rPr>
              <w:t>Arabian Crescent Bank</w:t>
            </w:r>
          </w:p>
        </w:tc>
        <w:tc>
          <w:tcPr>
            <w:tcW w:type="dxa" w:w="1984"/>
          </w:tcPr>
          <w:p>
            <w:pPr>
              <w:spacing w:after="0"/>
              <w:jc w:val="right"/>
            </w:pPr>
            <w:r>
              <w:rPr>
                <w:sz w:val="17"/>
              </w:rPr>
              <w:t>140,300,000</w:t>
            </w:r>
          </w:p>
        </w:tc>
        <w:tc>
          <w:tcPr>
            <w:tcW w:type="dxa" w:w="1984"/>
          </w:tcPr>
          <w:p>
            <w:pPr>
              <w:spacing w:after="0"/>
            </w:pPr>
            <w:r>
              <w:rPr>
                <w:sz w:val="17"/>
              </w:rPr>
              <w:t>Current</w:t>
            </w:r>
          </w:p>
        </w:tc>
      </w:tr>
    </w:tbl>
    <w:p/>
    <w:p>
      <w:pPr>
        <w:spacing w:before="160"/>
      </w:pPr>
      <w:r>
        <w:rPr>
          <w:b/>
          <w:color w:val="0B5563"/>
          <w:sz w:val="22"/>
        </w:rPr>
        <w:t>Payment history (24 months)</w:t>
      </w:r>
    </w:p>
    <w:p>
      <w:r>
        <w:t>24 of 24 months current on own facilities and on guaranteed facilities.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777777"/>
        <w:sz w:val="14"/>
      </w:rPr>
      <w:t>Fictional document (CreditProbe R16). All names and figures are invented.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5563"/>
        <w:sz w:val="24"/>
      </w:rPr>
      <w:t>SIMAH credit bureau (specimen extract)</w:t>
    </w:r>
  </w:p>
  <w:p>
    <w:r>
      <w:rPr>
        <w:sz w:val="15"/>
      </w:rPr>
      <w:t>Consumer report · fictional data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SIMAH CONSUMER CREDIT REPORT</dc:title>
  <dc:subject/>
  <dc:creator>SIMAH credit bureau (specimen extract)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