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3A55"/>
          <w:sz w:val="30"/>
        </w:rPr>
        <w:t>SAWAED AL BINA CONTRACTING CO. — FINANCIAL STATEMENTS FY2024</w:t>
      </w:r>
    </w:p>
    <w:p>
      <w:r>
        <w:t>INDEPENDENT AUDITOR'S REPORT AND STATEMENT OF FINANCIAL POSITION</w:t>
      </w:r>
    </w:p>
    <w:p>
      <w:r>
        <w:rPr>
          <w:sz w:val="16"/>
        </w:rPr>
        <w:t>For the year ended 31/12/2024</w:t>
      </w:r>
    </w:p>
    <w:p>
      <w:pPr>
        <w:spacing w:before="160"/>
      </w:pPr>
      <w:r>
        <w:rPr>
          <w:b/>
          <w:color w:val="2B3A55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Financial year ended: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31/12/2024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Auditor: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Qimam Al Sharq Certified Accountants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Audit opinion: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Unqualified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Qawaem filing reference: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QW-2025-2050117342</w:t>
            </w:r>
          </w:p>
        </w:tc>
      </w:tr>
    </w:tbl>
    <w:p>
      <w:pPr>
        <w:spacing w:before="160"/>
      </w:pPr>
      <w:r>
        <w:rPr>
          <w:b/>
          <w:color w:val="2B3A55"/>
          <w:sz w:val="22"/>
        </w:rPr>
        <w:t>Independent auditor's report</w:t>
      </w:r>
    </w:p>
    <w:p>
      <w:r>
        <w:t>In our opinion, the accompanying financial statements present fairly, in all material respects, the financial position of Sawaed Al Bina Contracting Co. as at 31/12/2024 and its financial performance and cash flows for the year then ended in accordance with IFRS as endorsed in the Kingdom.</w:t>
      </w:r>
    </w:p>
    <w:p>
      <w:r>
        <w:t>Qimam Al Sharq Certified Accountants, Dammam. Signed by Saleh Al-Dossary, licence 512, on 24/04/2025.</w:t>
      </w:r>
    </w:p>
    <w:p>
      <w:r>
        <w:br w:type="page"/>
      </w:r>
    </w:p>
    <w:p>
      <w:pPr>
        <w:spacing w:before="160"/>
      </w:pPr>
      <w:r>
        <w:rPr>
          <w:b/>
          <w:color w:val="2B3A55"/>
          <w:sz w:val="22"/>
        </w:rPr>
        <w:t>Statement of financial position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2183"/>
        <w:gridCol w:w="2183"/>
      </w:tblGrid>
      <w:tr>
        <w:tc>
          <w:tcPr>
            <w:tcW w:type="dxa" w:w="555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31/12/2024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31/12/2023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Cash and bank balances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19,800,000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17,200,000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Trade receivables, net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88,100,000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79,500,000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Retention receivables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27,900,000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21,400,000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Contract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61,200,000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48,800,000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Inventories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10,900,000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9,700,000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Due from related parties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9,600,000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4,100,000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Prepayments and other current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12,000,000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10,600,000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current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229,500,000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191,300,000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Property, plant and equipment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70,300,000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66,200,000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Other non-current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2,800,000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302,800,000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260,300,000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Short-term borrowings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71,400,000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58,000,000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Trade payables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51,000,000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47,200,000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Due to related parties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1,800,000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1,500,000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Accruals and other current liabilities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38,000,000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11,300,000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Current portion of long-term borrowings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9,000,000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9,000,000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current liabilities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171,200,000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127,000,000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Long-term borrowings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18,000,000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36,000,000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Employees' end-of-service benefits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11,000,000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9,600,000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liabilities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200,200,000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172,600,000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Share capital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50,000,000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30,000,000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Statutory reserve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13,300,000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11,600,000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Retained earnings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39,300,000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46,100,000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equity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102,600,000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87,700,000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liabilities and equity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302,800,000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260,300,000</w:t>
            </w:r>
          </w:p>
        </w:tc>
      </w:tr>
    </w:tbl>
    <w:p/>
    <w:p>
      <w:pPr>
        <w:spacing w:before="160"/>
      </w:pPr>
      <w:r>
        <w:rPr>
          <w:b/>
          <w:color w:val="2B3A55"/>
          <w:sz w:val="22"/>
        </w:rPr>
        <w:t>Statement of profit or loss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2183"/>
        <w:gridCol w:w="2183"/>
      </w:tblGrid>
      <w:tr>
        <w:tc>
          <w:tcPr>
            <w:tcW w:type="dxa" w:w="555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FY2024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FY2023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Revenue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402,600,000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351,800,000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Cost of revenue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352,300,000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306,400,000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Gross profit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50,300,000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45,400,000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Operating expenses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21,400,000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19,200,000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Operating profit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28,900,000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26,200,000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Finance cost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9,800,000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7,900,000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Zakat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1,400,000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17,500,000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16,900,000</w:t>
            </w:r>
          </w:p>
        </w:tc>
      </w:tr>
    </w:tbl>
    <w:p/>
    <w:p>
      <w:pPr>
        <w:spacing w:before="160"/>
      </w:pPr>
      <w:r>
        <w:rPr>
          <w:b/>
          <w:color w:val="2B3A55"/>
          <w:sz w:val="22"/>
        </w:rPr>
        <w:t>Statement of cash flows (summary)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48"/>
        <w:gridCol w:w="3373"/>
      </w:tblGrid>
      <w:tr>
        <w:tc>
          <w:tcPr>
            <w:tcW w:type="dxa" w:w="654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337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FY2024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17,500,000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Depreciation and amortisation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11,200,000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Working capital changes and other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(3,400,000)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Net cash from operating activities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25,300,000</w:t>
            </w:r>
          </w:p>
        </w:tc>
      </w:tr>
    </w:tbl>
    <w:p/>
    <w:p>
      <w:r>
        <w:br w:type="page"/>
      </w:r>
    </w:p>
    <w:p>
      <w:pPr>
        <w:spacing w:before="160"/>
      </w:pPr>
      <w:r>
        <w:rPr>
          <w:b/>
          <w:color w:val="2B3A55"/>
          <w:sz w:val="22"/>
        </w:rPr>
        <w:t>Selected notes</w:t>
      </w:r>
    </w:p>
    <w:p>
      <w:r>
        <w:rPr>
          <w:b/>
        </w:rPr>
        <w:t>Note 9 — Trade receivables and retention</w:t>
      </w:r>
    </w:p>
    <w:p>
      <w:r>
        <w:t>Trade receivables SAR 88,100,000 (2023: 79,500,000), net of an allowance of SAR 2,300,000. Retention receivables SAR 27,900,000 are recoverable on completion and expiry of the defects liability periods.</w:t>
      </w:r>
    </w:p>
    <w:p>
      <w:r>
        <w:rPr>
          <w:b/>
        </w:rPr>
        <w:t>Note 14 — Related parties</w:t>
      </w:r>
    </w:p>
    <w:p>
      <w:r>
        <w:t>Due from Sawaed Heavy Equipment Rental Co. (an entity owned by a partner) SAR 9,600,000 (2023: 4,100,000), being advances for equipment hire. Equipment hire charged by the related party: SAR 14,200,000.</w:t>
      </w:r>
    </w:p>
    <w:p>
      <w:r>
        <w:rPr>
          <w:b/>
        </w:rPr>
        <w:t>Note 18 — Contingent liabilities</w:t>
      </w:r>
    </w:p>
    <w:p>
      <w:r>
        <w:t>Letters of guarantee outstanding SAR 96,300,000 (2023: 81,000,000) and letters of credit SAR 4,100,000.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B3A55"/>
        <w:sz w:val="24"/>
      </w:rPr>
      <w:t>Qimam Al Sharq Certified Accountants</w:t>
    </w:r>
  </w:p>
  <w:p>
    <w:r>
      <w:rPr>
        <w:sz w:val="15"/>
      </w:rPr>
      <w:t>Certified public accountants · Dammam</w:t>
    </w:r>
  </w:p>
  <w:p>
    <w:r>
      <w:rPr>
        <w:sz w:val="15"/>
      </w:rPr>
      <w:t>Qawaem filing QW-2025-2050117342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SAWAED AL BINA CONTRACTING CO. — FINANCIAL STATEMENTS FY2024</dc:title>
  <dc:subject/>
  <dc:creator>Qimam Al Sharq Certified Accountants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