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3A55"/>
          <w:sz w:val="30"/>
        </w:rPr>
        <w:t>SAWAED AL BINA CONTRACTING CO. — FINANCIAL STATEMENTS FY2025</w:t>
      </w:r>
    </w:p>
    <w:p>
      <w:r>
        <w:t>INDEPENDENT AUDITOR'S REPORT AND STATEMENT OF FINANCIAL POSITION</w:t>
      </w:r>
    </w:p>
    <w:p>
      <w:r>
        <w:rPr>
          <w:sz w:val="16"/>
        </w:rPr>
        <w:t>For the year ended 31/12/2025</w:t>
      </w:r>
    </w:p>
    <w:p>
      <w:pPr>
        <w:spacing w:before="160"/>
      </w:pPr>
      <w:r>
        <w:rPr>
          <w:b/>
          <w:color w:val="2B3A55"/>
          <w:sz w:val="22"/>
        </w:rPr>
        <w:t>Key details</w:t>
      </w:r>
    </w:p>
    <w:tbl>
      <w:tblPr>
        <w:tblStyle w:val="TableGrid"/>
        <w:tblW w:type="auto" w:w="0"/>
        <w:tblLayout w:type="fixed"/>
        <w:tblLook w:firstColumn="1" w:firstRow="1" w:lastColumn="0" w:lastRow="0" w:noHBand="0" w:noVBand="1" w:val="04A0"/>
      </w:tblPr>
      <w:tblGrid>
        <w:gridCol w:w="2948"/>
        <w:gridCol w:w="6973"/>
      </w:tblGrid>
      <w:tr>
        <w:tc>
          <w:tcPr>
            <w:tcW w:type="dxa" w:w="2948"/>
            <w:shd w:val="clear" w:color="auto" w:fill="f3f1ec"/>
          </w:tcPr>
          <w:p>
            <w:r>
              <w:rPr>
                <w:b/>
                <w:sz w:val="17"/>
              </w:rPr>
              <w:t>Customer name:</w:t>
            </w:r>
          </w:p>
        </w:tc>
        <w:tc>
          <w:tcPr>
            <w:tcW w:type="dxa" w:w="6973"/>
          </w:tcPr>
          <w:p>
            <w:r>
              <w:rPr>
                <w:sz w:val="17"/>
              </w:rPr>
              <w:t>Sawaed Al Bina Contracting Co.</w:t>
            </w:r>
          </w:p>
        </w:tc>
      </w:tr>
      <w:tr>
        <w:tc>
          <w:tcPr>
            <w:tcW w:type="dxa" w:w="2948"/>
            <w:shd w:val="clear" w:color="auto" w:fill="f3f1ec"/>
          </w:tcPr>
          <w:p>
            <w:r>
              <w:rPr>
                <w:b/>
                <w:sz w:val="17"/>
              </w:rPr>
              <w:t>CR number:</w:t>
            </w:r>
          </w:p>
        </w:tc>
        <w:tc>
          <w:tcPr>
            <w:tcW w:type="dxa" w:w="6973"/>
          </w:tcPr>
          <w:p>
            <w:r>
              <w:rPr>
                <w:sz w:val="17"/>
              </w:rPr>
              <w:t>2050117342</w:t>
            </w:r>
          </w:p>
        </w:tc>
      </w:tr>
      <w:tr>
        <w:tc>
          <w:tcPr>
            <w:tcW w:type="dxa" w:w="2948"/>
            <w:shd w:val="clear" w:color="auto" w:fill="f3f1ec"/>
          </w:tcPr>
          <w:p>
            <w:r>
              <w:rPr>
                <w:b/>
                <w:sz w:val="17"/>
              </w:rPr>
              <w:t>Financial year ended:</w:t>
            </w:r>
          </w:p>
        </w:tc>
        <w:tc>
          <w:tcPr>
            <w:tcW w:type="dxa" w:w="6973"/>
          </w:tcPr>
          <w:p>
            <w:r>
              <w:rPr>
                <w:sz w:val="17"/>
              </w:rPr>
              <w:t>31/12/2025</w:t>
            </w:r>
          </w:p>
        </w:tc>
      </w:tr>
      <w:tr>
        <w:tc>
          <w:tcPr>
            <w:tcW w:type="dxa" w:w="2948"/>
            <w:shd w:val="clear" w:color="auto" w:fill="f3f1ec"/>
          </w:tcPr>
          <w:p>
            <w:r>
              <w:rPr>
                <w:b/>
                <w:sz w:val="17"/>
              </w:rPr>
              <w:t>Auditor:</w:t>
            </w:r>
          </w:p>
        </w:tc>
        <w:tc>
          <w:tcPr>
            <w:tcW w:type="dxa" w:w="6973"/>
          </w:tcPr>
          <w:p>
            <w:r>
              <w:rPr>
                <w:sz w:val="17"/>
              </w:rPr>
              <w:t>Qimam Al Sharq Certified Accountants</w:t>
            </w:r>
          </w:p>
        </w:tc>
      </w:tr>
      <w:tr>
        <w:tc>
          <w:tcPr>
            <w:tcW w:type="dxa" w:w="2948"/>
            <w:shd w:val="clear" w:color="auto" w:fill="f3f1ec"/>
          </w:tcPr>
          <w:p>
            <w:r>
              <w:rPr>
                <w:b/>
                <w:sz w:val="17"/>
              </w:rPr>
              <w:t>Audit opinion:</w:t>
            </w:r>
          </w:p>
        </w:tc>
        <w:tc>
          <w:tcPr>
            <w:tcW w:type="dxa" w:w="6973"/>
          </w:tcPr>
          <w:p>
            <w:r>
              <w:rPr>
                <w:sz w:val="17"/>
              </w:rPr>
              <w:t>Unqualified, with emphasis of matter</w:t>
            </w:r>
          </w:p>
        </w:tc>
      </w:tr>
      <w:tr>
        <w:tc>
          <w:tcPr>
            <w:tcW w:type="dxa" w:w="2948"/>
            <w:shd w:val="clear" w:color="auto" w:fill="f3f1ec"/>
          </w:tcPr>
          <w:p>
            <w:r>
              <w:rPr>
                <w:b/>
                <w:sz w:val="17"/>
              </w:rPr>
              <w:t>Qawaem filing reference:</w:t>
            </w:r>
          </w:p>
        </w:tc>
        <w:tc>
          <w:tcPr>
            <w:tcW w:type="dxa" w:w="6973"/>
          </w:tcPr>
          <w:p>
            <w:r>
              <w:rPr>
                <w:sz w:val="17"/>
              </w:rPr>
              <w:t>QW-2026-2050117342</w:t>
            </w:r>
          </w:p>
        </w:tc>
      </w:tr>
    </w:tbl>
    <w:p>
      <w:pPr>
        <w:spacing w:before="160"/>
      </w:pPr>
      <w:r>
        <w:rPr>
          <w:b/>
          <w:color w:val="2B3A55"/>
          <w:sz w:val="22"/>
        </w:rPr>
        <w:t>Independent auditor's report</w:t>
      </w:r>
    </w:p>
    <w:p>
      <w:r>
        <w:t>In our opinion, the financial statements present fairly, in all material respects, the financial position of Sawaed Al Bina Contracting Co. as at 31/12/2025 and its financial performance and cash flows for the year then ended in accordance with IFRS as endorsed in the Kingdom. Emphasis of matter: we draw attention to Note 9, which describes that certified amounts of SAR 23,239,000 due from a government-linked employer were unpaid at the reporting date, of which SAR 7,667,000 beyond the contractual payment terms, and that the Company's claim for an extension of time on the related project is pending the employer's approval. Our opinion is not modified in respect of this matter.</w:t>
      </w:r>
    </w:p>
    <w:p>
      <w:r>
        <w:t>Qimam Al Sharq Certified Accountants, Dammam. Signed by Saleh Al-Dossary, licence 512, on 27/04/2026.</w:t>
      </w:r>
    </w:p>
    <w:p>
      <w:r>
        <w:br w:type="page"/>
      </w:r>
    </w:p>
    <w:p>
      <w:pPr>
        <w:spacing w:before="160"/>
      </w:pPr>
      <w:r>
        <w:rPr>
          <w:b/>
          <w:color w:val="2B3A55"/>
          <w:sz w:val="22"/>
        </w:rPr>
        <w:t>Statement of financial position</w:t>
      </w:r>
    </w:p>
    <w:tbl>
      <w:tblPr>
        <w:tblStyle w:val="TableGrid"/>
        <w:tblW w:type="auto" w:w="0"/>
        <w:jc w:val="center"/>
        <w:tblLayout w:type="fixed"/>
        <w:tblLook w:firstColumn="1" w:firstRow="1" w:lastColumn="0" w:lastRow="0" w:noHBand="0" w:noVBand="1" w:val="04A0"/>
      </w:tblPr>
      <w:tblGrid>
        <w:gridCol w:w="5556"/>
        <w:gridCol w:w="2183"/>
        <w:gridCol w:w="2183"/>
      </w:tblGrid>
      <w:tr>
        <w:tc>
          <w:tcPr>
            <w:tcW w:type="dxa" w:w="5556"/>
            <w:shd w:val="clear" w:color="auto" w:fill="e9e6df"/>
          </w:tcPr>
          <w:p>
            <w:pPr>
              <w:spacing w:after="0"/>
            </w:pPr>
            <w:r>
              <w:rPr>
                <w:b/>
                <w:sz w:val="17"/>
              </w:rPr>
              <w:t>SAR</w:t>
            </w:r>
          </w:p>
        </w:tc>
        <w:tc>
          <w:tcPr>
            <w:tcW w:type="dxa" w:w="2183"/>
            <w:shd w:val="clear" w:color="auto" w:fill="e9e6df"/>
          </w:tcPr>
          <w:p>
            <w:pPr>
              <w:spacing w:after="0"/>
            </w:pPr>
            <w:r>
              <w:rPr>
                <w:b/>
                <w:sz w:val="17"/>
              </w:rPr>
              <w:t>31/12/2025</w:t>
            </w:r>
          </w:p>
        </w:tc>
        <w:tc>
          <w:tcPr>
            <w:tcW w:type="dxa" w:w="2183"/>
            <w:shd w:val="clear" w:color="auto" w:fill="e9e6df"/>
          </w:tcPr>
          <w:p>
            <w:pPr>
              <w:spacing w:after="0"/>
            </w:pPr>
            <w:r>
              <w:rPr>
                <w:b/>
                <w:sz w:val="17"/>
              </w:rPr>
              <w:t>31/12/2024</w:t>
            </w:r>
          </w:p>
        </w:tc>
      </w:tr>
      <w:tr>
        <w:tc>
          <w:tcPr>
            <w:tcW w:type="dxa" w:w="5556"/>
          </w:tcPr>
          <w:p>
            <w:pPr>
              <w:spacing w:after="0"/>
            </w:pPr>
            <w:r>
              <w:rPr>
                <w:sz w:val="17"/>
              </w:rPr>
              <w:t>Cash and bank balances</w:t>
            </w:r>
          </w:p>
        </w:tc>
        <w:tc>
          <w:tcPr>
            <w:tcW w:type="dxa" w:w="2183"/>
          </w:tcPr>
          <w:p>
            <w:pPr>
              <w:spacing w:after="0"/>
              <w:jc w:val="right"/>
            </w:pPr>
            <w:r>
              <w:rPr>
                <w:sz w:val="17"/>
              </w:rPr>
              <w:t>14,600,000</w:t>
            </w:r>
          </w:p>
        </w:tc>
        <w:tc>
          <w:tcPr>
            <w:tcW w:type="dxa" w:w="2183"/>
          </w:tcPr>
          <w:p>
            <w:pPr>
              <w:spacing w:after="0"/>
              <w:jc w:val="right"/>
            </w:pPr>
            <w:r>
              <w:rPr>
                <w:sz w:val="17"/>
              </w:rPr>
              <w:t>19,800,000</w:t>
            </w:r>
          </w:p>
        </w:tc>
      </w:tr>
      <w:tr>
        <w:tc>
          <w:tcPr>
            <w:tcW w:type="dxa" w:w="5556"/>
          </w:tcPr>
          <w:p>
            <w:pPr>
              <w:spacing w:after="0"/>
            </w:pPr>
            <w:r>
              <w:rPr>
                <w:sz w:val="17"/>
              </w:rPr>
              <w:t>Trade receivables, net</w:t>
            </w:r>
          </w:p>
        </w:tc>
        <w:tc>
          <w:tcPr>
            <w:tcW w:type="dxa" w:w="2183"/>
          </w:tcPr>
          <w:p>
            <w:pPr>
              <w:spacing w:after="0"/>
              <w:jc w:val="right"/>
            </w:pPr>
            <w:r>
              <w:rPr>
                <w:sz w:val="17"/>
              </w:rPr>
              <w:t>96,400,000</w:t>
            </w:r>
          </w:p>
        </w:tc>
        <w:tc>
          <w:tcPr>
            <w:tcW w:type="dxa" w:w="2183"/>
          </w:tcPr>
          <w:p>
            <w:pPr>
              <w:spacing w:after="0"/>
              <w:jc w:val="right"/>
            </w:pPr>
            <w:r>
              <w:rPr>
                <w:sz w:val="17"/>
              </w:rPr>
              <w:t>88,100,000</w:t>
            </w:r>
          </w:p>
        </w:tc>
      </w:tr>
      <w:tr>
        <w:tc>
          <w:tcPr>
            <w:tcW w:type="dxa" w:w="5556"/>
          </w:tcPr>
          <w:p>
            <w:pPr>
              <w:spacing w:after="0"/>
            </w:pPr>
            <w:r>
              <w:rPr>
                <w:sz w:val="17"/>
              </w:rPr>
              <w:t>Retention receivables</w:t>
            </w:r>
          </w:p>
        </w:tc>
        <w:tc>
          <w:tcPr>
            <w:tcW w:type="dxa" w:w="2183"/>
          </w:tcPr>
          <w:p>
            <w:pPr>
              <w:spacing w:after="0"/>
              <w:jc w:val="right"/>
            </w:pPr>
            <w:r>
              <w:rPr>
                <w:sz w:val="17"/>
              </w:rPr>
              <w:t>41,800,000</w:t>
            </w:r>
          </w:p>
        </w:tc>
        <w:tc>
          <w:tcPr>
            <w:tcW w:type="dxa" w:w="2183"/>
          </w:tcPr>
          <w:p>
            <w:pPr>
              <w:spacing w:after="0"/>
              <w:jc w:val="right"/>
            </w:pPr>
            <w:r>
              <w:rPr>
                <w:sz w:val="17"/>
              </w:rPr>
              <w:t>27,900,000</w:t>
            </w:r>
          </w:p>
        </w:tc>
      </w:tr>
      <w:tr>
        <w:tc>
          <w:tcPr>
            <w:tcW w:type="dxa" w:w="5556"/>
          </w:tcPr>
          <w:p>
            <w:pPr>
              <w:spacing w:after="0"/>
            </w:pPr>
            <w:r>
              <w:rPr>
                <w:sz w:val="17"/>
              </w:rPr>
              <w:t>Contract assets</w:t>
            </w:r>
          </w:p>
        </w:tc>
        <w:tc>
          <w:tcPr>
            <w:tcW w:type="dxa" w:w="2183"/>
          </w:tcPr>
          <w:p>
            <w:pPr>
              <w:spacing w:after="0"/>
              <w:jc w:val="right"/>
            </w:pPr>
            <w:r>
              <w:rPr>
                <w:sz w:val="17"/>
              </w:rPr>
              <w:t>88,700,000</w:t>
            </w:r>
          </w:p>
        </w:tc>
        <w:tc>
          <w:tcPr>
            <w:tcW w:type="dxa" w:w="2183"/>
          </w:tcPr>
          <w:p>
            <w:pPr>
              <w:spacing w:after="0"/>
              <w:jc w:val="right"/>
            </w:pPr>
            <w:r>
              <w:rPr>
                <w:sz w:val="17"/>
              </w:rPr>
              <w:t>61,200,000</w:t>
            </w:r>
          </w:p>
        </w:tc>
      </w:tr>
      <w:tr>
        <w:tc>
          <w:tcPr>
            <w:tcW w:type="dxa" w:w="5556"/>
          </w:tcPr>
          <w:p>
            <w:pPr>
              <w:spacing w:after="0"/>
            </w:pPr>
            <w:r>
              <w:rPr>
                <w:sz w:val="17"/>
              </w:rPr>
              <w:t>Inventories</w:t>
            </w:r>
          </w:p>
        </w:tc>
        <w:tc>
          <w:tcPr>
            <w:tcW w:type="dxa" w:w="2183"/>
          </w:tcPr>
          <w:p>
            <w:pPr>
              <w:spacing w:after="0"/>
              <w:jc w:val="right"/>
            </w:pPr>
            <w:r>
              <w:rPr>
                <w:sz w:val="17"/>
              </w:rPr>
              <w:t>12,300,000</w:t>
            </w:r>
          </w:p>
        </w:tc>
        <w:tc>
          <w:tcPr>
            <w:tcW w:type="dxa" w:w="2183"/>
          </w:tcPr>
          <w:p>
            <w:pPr>
              <w:spacing w:after="0"/>
              <w:jc w:val="right"/>
            </w:pPr>
            <w:r>
              <w:rPr>
                <w:sz w:val="17"/>
              </w:rPr>
              <w:t>10,900,000</w:t>
            </w:r>
          </w:p>
        </w:tc>
      </w:tr>
      <w:tr>
        <w:tc>
          <w:tcPr>
            <w:tcW w:type="dxa" w:w="5556"/>
          </w:tcPr>
          <w:p>
            <w:pPr>
              <w:spacing w:after="0"/>
            </w:pPr>
            <w:r>
              <w:rPr>
                <w:sz w:val="17"/>
              </w:rPr>
              <w:t>Due from related parties</w:t>
            </w:r>
          </w:p>
        </w:tc>
        <w:tc>
          <w:tcPr>
            <w:tcW w:type="dxa" w:w="2183"/>
          </w:tcPr>
          <w:p>
            <w:pPr>
              <w:spacing w:after="0"/>
              <w:jc w:val="right"/>
            </w:pPr>
            <w:r>
              <w:rPr>
                <w:sz w:val="17"/>
              </w:rPr>
              <w:t>18,900,000</w:t>
            </w:r>
          </w:p>
        </w:tc>
        <w:tc>
          <w:tcPr>
            <w:tcW w:type="dxa" w:w="2183"/>
          </w:tcPr>
          <w:p>
            <w:pPr>
              <w:spacing w:after="0"/>
              <w:jc w:val="right"/>
            </w:pPr>
            <w:r>
              <w:rPr>
                <w:sz w:val="17"/>
              </w:rPr>
              <w:t>9,600,000</w:t>
            </w:r>
          </w:p>
        </w:tc>
      </w:tr>
      <w:tr>
        <w:tc>
          <w:tcPr>
            <w:tcW w:type="dxa" w:w="5556"/>
          </w:tcPr>
          <w:p>
            <w:pPr>
              <w:spacing w:after="0"/>
            </w:pPr>
            <w:r>
              <w:rPr>
                <w:sz w:val="17"/>
              </w:rPr>
              <w:t>Prepayments and other current assets</w:t>
            </w:r>
          </w:p>
        </w:tc>
        <w:tc>
          <w:tcPr>
            <w:tcW w:type="dxa" w:w="2183"/>
          </w:tcPr>
          <w:p>
            <w:pPr>
              <w:spacing w:after="0"/>
              <w:jc w:val="right"/>
            </w:pPr>
            <w:r>
              <w:rPr>
                <w:sz w:val="17"/>
              </w:rPr>
              <w:t>14,100,000</w:t>
            </w:r>
          </w:p>
        </w:tc>
        <w:tc>
          <w:tcPr>
            <w:tcW w:type="dxa" w:w="2183"/>
          </w:tcPr>
          <w:p>
            <w:pPr>
              <w:spacing w:after="0"/>
              <w:jc w:val="right"/>
            </w:pPr>
            <w:r>
              <w:rPr>
                <w:sz w:val="17"/>
              </w:rPr>
              <w:t>12,000,000</w:t>
            </w:r>
          </w:p>
        </w:tc>
      </w:tr>
      <w:tr>
        <w:tc>
          <w:tcPr>
            <w:tcW w:type="dxa" w:w="5556"/>
          </w:tcPr>
          <w:p>
            <w:pPr>
              <w:spacing w:after="0"/>
            </w:pPr>
            <w:r>
              <w:rPr>
                <w:sz w:val="17"/>
              </w:rPr>
              <w:t>Total current assets</w:t>
            </w:r>
          </w:p>
        </w:tc>
        <w:tc>
          <w:tcPr>
            <w:tcW w:type="dxa" w:w="2183"/>
          </w:tcPr>
          <w:p>
            <w:pPr>
              <w:spacing w:after="0"/>
              <w:jc w:val="right"/>
            </w:pPr>
            <w:r>
              <w:rPr>
                <w:sz w:val="17"/>
              </w:rPr>
              <w:t>286,800,000</w:t>
            </w:r>
          </w:p>
        </w:tc>
        <w:tc>
          <w:tcPr>
            <w:tcW w:type="dxa" w:w="2183"/>
          </w:tcPr>
          <w:p>
            <w:pPr>
              <w:spacing w:after="0"/>
              <w:jc w:val="right"/>
            </w:pPr>
            <w:r>
              <w:rPr>
                <w:sz w:val="17"/>
              </w:rPr>
              <w:t>229,500,000</w:t>
            </w:r>
          </w:p>
        </w:tc>
      </w:tr>
      <w:tr>
        <w:tc>
          <w:tcPr>
            <w:tcW w:type="dxa" w:w="5556"/>
          </w:tcPr>
          <w:p>
            <w:pPr>
              <w:spacing w:after="0"/>
            </w:pPr>
            <w:r>
              <w:rPr>
                <w:sz w:val="17"/>
              </w:rPr>
              <w:t>Property, plant and equipment</w:t>
            </w:r>
          </w:p>
        </w:tc>
        <w:tc>
          <w:tcPr>
            <w:tcW w:type="dxa" w:w="2183"/>
          </w:tcPr>
          <w:p>
            <w:pPr>
              <w:spacing w:after="0"/>
              <w:jc w:val="right"/>
            </w:pPr>
            <w:r>
              <w:rPr>
                <w:sz w:val="17"/>
              </w:rPr>
              <w:t>74,500,000</w:t>
            </w:r>
          </w:p>
        </w:tc>
        <w:tc>
          <w:tcPr>
            <w:tcW w:type="dxa" w:w="2183"/>
          </w:tcPr>
          <w:p>
            <w:pPr>
              <w:spacing w:after="0"/>
              <w:jc w:val="right"/>
            </w:pPr>
            <w:r>
              <w:rPr>
                <w:sz w:val="17"/>
              </w:rPr>
              <w:t>70,300,000</w:t>
            </w:r>
          </w:p>
        </w:tc>
      </w:tr>
      <w:tr>
        <w:tc>
          <w:tcPr>
            <w:tcW w:type="dxa" w:w="5556"/>
          </w:tcPr>
          <w:p>
            <w:pPr>
              <w:spacing w:after="0"/>
            </w:pPr>
            <w:r>
              <w:rPr>
                <w:sz w:val="17"/>
              </w:rPr>
              <w:t>Other non-current assets</w:t>
            </w:r>
          </w:p>
        </w:tc>
        <w:tc>
          <w:tcPr>
            <w:tcW w:type="dxa" w:w="2183"/>
          </w:tcPr>
          <w:p>
            <w:pPr>
              <w:spacing w:after="0"/>
              <w:jc w:val="right"/>
            </w:pPr>
            <w:r>
              <w:rPr>
                <w:sz w:val="17"/>
              </w:rPr>
              <w:t>3,200,000</w:t>
            </w:r>
          </w:p>
        </w:tc>
        <w:tc>
          <w:tcPr>
            <w:tcW w:type="dxa" w:w="2183"/>
          </w:tcPr>
          <w:p>
            <w:pPr>
              <w:spacing w:after="0"/>
              <w:jc w:val="right"/>
            </w:pPr>
            <w:r>
              <w:rPr>
                <w:sz w:val="17"/>
              </w:rPr>
              <w:t>3,000,000</w:t>
            </w:r>
          </w:p>
        </w:tc>
      </w:tr>
      <w:tr>
        <w:tc>
          <w:tcPr>
            <w:tcW w:type="dxa" w:w="5556"/>
          </w:tcPr>
          <w:p>
            <w:pPr>
              <w:spacing w:after="0"/>
            </w:pPr>
            <w:r>
              <w:rPr>
                <w:sz w:val="17"/>
              </w:rPr>
              <w:t>Total assets</w:t>
            </w:r>
          </w:p>
        </w:tc>
        <w:tc>
          <w:tcPr>
            <w:tcW w:type="dxa" w:w="2183"/>
          </w:tcPr>
          <w:p>
            <w:pPr>
              <w:spacing w:after="0"/>
              <w:jc w:val="right"/>
            </w:pPr>
            <w:r>
              <w:rPr>
                <w:sz w:val="17"/>
              </w:rPr>
              <w:t>364,500,000</w:t>
            </w:r>
          </w:p>
        </w:tc>
        <w:tc>
          <w:tcPr>
            <w:tcW w:type="dxa" w:w="2183"/>
          </w:tcPr>
          <w:p>
            <w:pPr>
              <w:spacing w:after="0"/>
              <w:jc w:val="right"/>
            </w:pPr>
            <w:r>
              <w:rPr>
                <w:sz w:val="17"/>
              </w:rPr>
              <w:t>302,800,000</w:t>
            </w:r>
          </w:p>
        </w:tc>
      </w:tr>
      <w:tr>
        <w:tc>
          <w:tcPr>
            <w:tcW w:type="dxa" w:w="5556"/>
          </w:tcPr>
          <w:p>
            <w:pPr>
              <w:spacing w:after="0"/>
            </w:pPr>
            <w:r>
              <w:rPr>
                <w:sz w:val="17"/>
              </w:rPr>
              <w:t>Short-term borrowings</w:t>
            </w:r>
          </w:p>
        </w:tc>
        <w:tc>
          <w:tcPr>
            <w:tcW w:type="dxa" w:w="2183"/>
          </w:tcPr>
          <w:p>
            <w:pPr>
              <w:spacing w:after="0"/>
              <w:jc w:val="right"/>
            </w:pPr>
            <w:r>
              <w:rPr>
                <w:sz w:val="17"/>
              </w:rPr>
              <w:t>98,600,000</w:t>
            </w:r>
          </w:p>
        </w:tc>
        <w:tc>
          <w:tcPr>
            <w:tcW w:type="dxa" w:w="2183"/>
          </w:tcPr>
          <w:p>
            <w:pPr>
              <w:spacing w:after="0"/>
              <w:jc w:val="right"/>
            </w:pPr>
            <w:r>
              <w:rPr>
                <w:sz w:val="17"/>
              </w:rPr>
              <w:t>71,400,000</w:t>
            </w:r>
          </w:p>
        </w:tc>
      </w:tr>
      <w:tr>
        <w:tc>
          <w:tcPr>
            <w:tcW w:type="dxa" w:w="5556"/>
          </w:tcPr>
          <w:p>
            <w:pPr>
              <w:spacing w:after="0"/>
            </w:pPr>
            <w:r>
              <w:rPr>
                <w:sz w:val="17"/>
              </w:rPr>
              <w:t>Trade payables</w:t>
            </w:r>
          </w:p>
        </w:tc>
        <w:tc>
          <w:tcPr>
            <w:tcW w:type="dxa" w:w="2183"/>
          </w:tcPr>
          <w:p>
            <w:pPr>
              <w:spacing w:after="0"/>
              <w:jc w:val="right"/>
            </w:pPr>
            <w:r>
              <w:rPr>
                <w:sz w:val="17"/>
              </w:rPr>
              <w:t>71,200,000</w:t>
            </w:r>
          </w:p>
        </w:tc>
        <w:tc>
          <w:tcPr>
            <w:tcW w:type="dxa" w:w="2183"/>
          </w:tcPr>
          <w:p>
            <w:pPr>
              <w:spacing w:after="0"/>
              <w:jc w:val="right"/>
            </w:pPr>
            <w:r>
              <w:rPr>
                <w:sz w:val="17"/>
              </w:rPr>
              <w:t>51,000,000</w:t>
            </w:r>
          </w:p>
        </w:tc>
      </w:tr>
      <w:tr>
        <w:tc>
          <w:tcPr>
            <w:tcW w:type="dxa" w:w="5556"/>
          </w:tcPr>
          <w:p>
            <w:pPr>
              <w:spacing w:after="0"/>
            </w:pPr>
            <w:r>
              <w:rPr>
                <w:sz w:val="17"/>
              </w:rPr>
              <w:t>Due to related parties</w:t>
            </w:r>
          </w:p>
        </w:tc>
        <w:tc>
          <w:tcPr>
            <w:tcW w:type="dxa" w:w="2183"/>
          </w:tcPr>
          <w:p>
            <w:pPr>
              <w:spacing w:after="0"/>
              <w:jc w:val="right"/>
            </w:pPr>
            <w:r>
              <w:rPr>
                <w:sz w:val="17"/>
              </w:rPr>
              <w:t>2,100,000</w:t>
            </w:r>
          </w:p>
        </w:tc>
        <w:tc>
          <w:tcPr>
            <w:tcW w:type="dxa" w:w="2183"/>
          </w:tcPr>
          <w:p>
            <w:pPr>
              <w:spacing w:after="0"/>
              <w:jc w:val="right"/>
            </w:pPr>
            <w:r>
              <w:rPr>
                <w:sz w:val="17"/>
              </w:rPr>
              <w:t>1,800,000</w:t>
            </w:r>
          </w:p>
        </w:tc>
      </w:tr>
      <w:tr>
        <w:tc>
          <w:tcPr>
            <w:tcW w:type="dxa" w:w="5556"/>
          </w:tcPr>
          <w:p>
            <w:pPr>
              <w:spacing w:after="0"/>
            </w:pPr>
            <w:r>
              <w:rPr>
                <w:sz w:val="17"/>
              </w:rPr>
              <w:t>Accruals and other current liabilities</w:t>
            </w:r>
          </w:p>
        </w:tc>
        <w:tc>
          <w:tcPr>
            <w:tcW w:type="dxa" w:w="2183"/>
          </w:tcPr>
          <w:p>
            <w:pPr>
              <w:spacing w:after="0"/>
              <w:jc w:val="right"/>
            </w:pPr>
            <w:r>
              <w:rPr>
                <w:sz w:val="17"/>
              </w:rPr>
              <w:t>38,400,000</w:t>
            </w:r>
          </w:p>
        </w:tc>
        <w:tc>
          <w:tcPr>
            <w:tcW w:type="dxa" w:w="2183"/>
          </w:tcPr>
          <w:p>
            <w:pPr>
              <w:spacing w:after="0"/>
              <w:jc w:val="right"/>
            </w:pPr>
            <w:r>
              <w:rPr>
                <w:sz w:val="17"/>
              </w:rPr>
              <w:t>38,000,000</w:t>
            </w:r>
          </w:p>
        </w:tc>
      </w:tr>
      <w:tr>
        <w:tc>
          <w:tcPr>
            <w:tcW w:type="dxa" w:w="5556"/>
          </w:tcPr>
          <w:p>
            <w:pPr>
              <w:spacing w:after="0"/>
            </w:pPr>
            <w:r>
              <w:rPr>
                <w:sz w:val="17"/>
              </w:rPr>
              <w:t>Current portion of long-term borrowings</w:t>
            </w:r>
          </w:p>
        </w:tc>
        <w:tc>
          <w:tcPr>
            <w:tcW w:type="dxa" w:w="2183"/>
          </w:tcPr>
          <w:p>
            <w:pPr>
              <w:spacing w:after="0"/>
              <w:jc w:val="right"/>
            </w:pPr>
            <w:r>
              <w:rPr>
                <w:sz w:val="17"/>
              </w:rPr>
              <w:t>9,000,000</w:t>
            </w:r>
          </w:p>
        </w:tc>
        <w:tc>
          <w:tcPr>
            <w:tcW w:type="dxa" w:w="2183"/>
          </w:tcPr>
          <w:p>
            <w:pPr>
              <w:spacing w:after="0"/>
              <w:jc w:val="right"/>
            </w:pPr>
            <w:r>
              <w:rPr>
                <w:sz w:val="17"/>
              </w:rPr>
              <w:t>9,000,000</w:t>
            </w:r>
          </w:p>
        </w:tc>
      </w:tr>
      <w:tr>
        <w:tc>
          <w:tcPr>
            <w:tcW w:type="dxa" w:w="5556"/>
          </w:tcPr>
          <w:p>
            <w:pPr>
              <w:spacing w:after="0"/>
            </w:pPr>
            <w:r>
              <w:rPr>
                <w:sz w:val="17"/>
              </w:rPr>
              <w:t>Total current liabilities</w:t>
            </w:r>
          </w:p>
        </w:tc>
        <w:tc>
          <w:tcPr>
            <w:tcW w:type="dxa" w:w="2183"/>
          </w:tcPr>
          <w:p>
            <w:pPr>
              <w:spacing w:after="0"/>
              <w:jc w:val="right"/>
            </w:pPr>
            <w:r>
              <w:rPr>
                <w:sz w:val="17"/>
              </w:rPr>
              <w:t>219,300,000</w:t>
            </w:r>
          </w:p>
        </w:tc>
        <w:tc>
          <w:tcPr>
            <w:tcW w:type="dxa" w:w="2183"/>
          </w:tcPr>
          <w:p>
            <w:pPr>
              <w:spacing w:after="0"/>
              <w:jc w:val="right"/>
            </w:pPr>
            <w:r>
              <w:rPr>
                <w:sz w:val="17"/>
              </w:rPr>
              <w:t>171,200,000</w:t>
            </w:r>
          </w:p>
        </w:tc>
      </w:tr>
      <w:tr>
        <w:tc>
          <w:tcPr>
            <w:tcW w:type="dxa" w:w="5556"/>
          </w:tcPr>
          <w:p>
            <w:pPr>
              <w:spacing w:after="0"/>
            </w:pPr>
            <w:r>
              <w:rPr>
                <w:sz w:val="17"/>
              </w:rPr>
              <w:t>Long-term borrowings</w:t>
            </w:r>
          </w:p>
        </w:tc>
        <w:tc>
          <w:tcPr>
            <w:tcW w:type="dxa" w:w="2183"/>
          </w:tcPr>
          <w:p>
            <w:pPr>
              <w:spacing w:after="0"/>
              <w:jc w:val="right"/>
            </w:pPr>
            <w:r>
              <w:rPr>
                <w:sz w:val="17"/>
              </w:rPr>
              <w:t>18,000,000</w:t>
            </w:r>
          </w:p>
        </w:tc>
        <w:tc>
          <w:tcPr>
            <w:tcW w:type="dxa" w:w="2183"/>
          </w:tcPr>
          <w:p>
            <w:pPr>
              <w:spacing w:after="0"/>
              <w:jc w:val="right"/>
            </w:pPr>
            <w:r>
              <w:rPr>
                <w:sz w:val="17"/>
              </w:rPr>
              <w:t>18,000,000</w:t>
            </w:r>
          </w:p>
        </w:tc>
      </w:tr>
      <w:tr>
        <w:tc>
          <w:tcPr>
            <w:tcW w:type="dxa" w:w="5556"/>
          </w:tcPr>
          <w:p>
            <w:pPr>
              <w:spacing w:after="0"/>
            </w:pPr>
            <w:r>
              <w:rPr>
                <w:sz w:val="17"/>
              </w:rPr>
              <w:t>Employees' end-of-service benefits</w:t>
            </w:r>
          </w:p>
        </w:tc>
        <w:tc>
          <w:tcPr>
            <w:tcW w:type="dxa" w:w="2183"/>
          </w:tcPr>
          <w:p>
            <w:pPr>
              <w:spacing w:after="0"/>
              <w:jc w:val="right"/>
            </w:pPr>
            <w:r>
              <w:rPr>
                <w:sz w:val="17"/>
              </w:rPr>
              <w:t>12,700,000</w:t>
            </w:r>
          </w:p>
        </w:tc>
        <w:tc>
          <w:tcPr>
            <w:tcW w:type="dxa" w:w="2183"/>
          </w:tcPr>
          <w:p>
            <w:pPr>
              <w:spacing w:after="0"/>
              <w:jc w:val="right"/>
            </w:pPr>
            <w:r>
              <w:rPr>
                <w:sz w:val="17"/>
              </w:rPr>
              <w:t>11,000,000</w:t>
            </w:r>
          </w:p>
        </w:tc>
      </w:tr>
      <w:tr>
        <w:tc>
          <w:tcPr>
            <w:tcW w:type="dxa" w:w="5556"/>
          </w:tcPr>
          <w:p>
            <w:pPr>
              <w:spacing w:after="0"/>
            </w:pPr>
            <w:r>
              <w:rPr>
                <w:sz w:val="17"/>
              </w:rPr>
              <w:t>Total liabilities</w:t>
            </w:r>
          </w:p>
        </w:tc>
        <w:tc>
          <w:tcPr>
            <w:tcW w:type="dxa" w:w="2183"/>
          </w:tcPr>
          <w:p>
            <w:pPr>
              <w:spacing w:after="0"/>
              <w:jc w:val="right"/>
            </w:pPr>
            <w:r>
              <w:rPr>
                <w:sz w:val="17"/>
              </w:rPr>
              <w:t>250,000,000</w:t>
            </w:r>
          </w:p>
        </w:tc>
        <w:tc>
          <w:tcPr>
            <w:tcW w:type="dxa" w:w="2183"/>
          </w:tcPr>
          <w:p>
            <w:pPr>
              <w:spacing w:after="0"/>
              <w:jc w:val="right"/>
            </w:pPr>
            <w:r>
              <w:rPr>
                <w:sz w:val="17"/>
              </w:rPr>
              <w:t>200,200,000</w:t>
            </w:r>
          </w:p>
        </w:tc>
      </w:tr>
      <w:tr>
        <w:tc>
          <w:tcPr>
            <w:tcW w:type="dxa" w:w="5556"/>
          </w:tcPr>
          <w:p>
            <w:pPr>
              <w:spacing w:after="0"/>
            </w:pPr>
            <w:r>
              <w:rPr>
                <w:sz w:val="17"/>
              </w:rPr>
              <w:t>Share capital</w:t>
            </w:r>
          </w:p>
        </w:tc>
        <w:tc>
          <w:tcPr>
            <w:tcW w:type="dxa" w:w="2183"/>
          </w:tcPr>
          <w:p>
            <w:pPr>
              <w:spacing w:after="0"/>
              <w:jc w:val="right"/>
            </w:pPr>
            <w:r>
              <w:rPr>
                <w:sz w:val="17"/>
              </w:rPr>
              <w:t>50,000,000</w:t>
            </w:r>
          </w:p>
        </w:tc>
        <w:tc>
          <w:tcPr>
            <w:tcW w:type="dxa" w:w="2183"/>
          </w:tcPr>
          <w:p>
            <w:pPr>
              <w:spacing w:after="0"/>
              <w:jc w:val="right"/>
            </w:pPr>
            <w:r>
              <w:rPr>
                <w:sz w:val="17"/>
              </w:rPr>
              <w:t>50,000,000</w:t>
            </w:r>
          </w:p>
        </w:tc>
      </w:tr>
      <w:tr>
        <w:tc>
          <w:tcPr>
            <w:tcW w:type="dxa" w:w="5556"/>
          </w:tcPr>
          <w:p>
            <w:pPr>
              <w:spacing w:after="0"/>
            </w:pPr>
            <w:r>
              <w:rPr>
                <w:sz w:val="17"/>
              </w:rPr>
              <w:t>Statutory reserve</w:t>
            </w:r>
          </w:p>
        </w:tc>
        <w:tc>
          <w:tcPr>
            <w:tcW w:type="dxa" w:w="2183"/>
          </w:tcPr>
          <w:p>
            <w:pPr>
              <w:spacing w:after="0"/>
              <w:jc w:val="right"/>
            </w:pPr>
            <w:r>
              <w:rPr>
                <w:sz w:val="17"/>
              </w:rPr>
              <w:t>15,000,000</w:t>
            </w:r>
          </w:p>
        </w:tc>
        <w:tc>
          <w:tcPr>
            <w:tcW w:type="dxa" w:w="2183"/>
          </w:tcPr>
          <w:p>
            <w:pPr>
              <w:spacing w:after="0"/>
              <w:jc w:val="right"/>
            </w:pPr>
            <w:r>
              <w:rPr>
                <w:sz w:val="17"/>
              </w:rPr>
              <w:t>13,300,000</w:t>
            </w:r>
          </w:p>
        </w:tc>
      </w:tr>
      <w:tr>
        <w:tc>
          <w:tcPr>
            <w:tcW w:type="dxa" w:w="5556"/>
          </w:tcPr>
          <w:p>
            <w:pPr>
              <w:spacing w:after="0"/>
            </w:pPr>
            <w:r>
              <w:rPr>
                <w:sz w:val="17"/>
              </w:rPr>
              <w:t>Retained earnings</w:t>
            </w:r>
          </w:p>
        </w:tc>
        <w:tc>
          <w:tcPr>
            <w:tcW w:type="dxa" w:w="2183"/>
          </w:tcPr>
          <w:p>
            <w:pPr>
              <w:spacing w:after="0"/>
              <w:jc w:val="right"/>
            </w:pPr>
            <w:r>
              <w:rPr>
                <w:sz w:val="17"/>
              </w:rPr>
              <w:t>49,500,000</w:t>
            </w:r>
          </w:p>
        </w:tc>
        <w:tc>
          <w:tcPr>
            <w:tcW w:type="dxa" w:w="2183"/>
          </w:tcPr>
          <w:p>
            <w:pPr>
              <w:spacing w:after="0"/>
              <w:jc w:val="right"/>
            </w:pPr>
            <w:r>
              <w:rPr>
                <w:sz w:val="17"/>
              </w:rPr>
              <w:t>39,300,000</w:t>
            </w:r>
          </w:p>
        </w:tc>
      </w:tr>
      <w:tr>
        <w:tc>
          <w:tcPr>
            <w:tcW w:type="dxa" w:w="5556"/>
          </w:tcPr>
          <w:p>
            <w:pPr>
              <w:spacing w:after="0"/>
            </w:pPr>
            <w:r>
              <w:rPr>
                <w:sz w:val="17"/>
              </w:rPr>
              <w:t>Total equity</w:t>
            </w:r>
          </w:p>
        </w:tc>
        <w:tc>
          <w:tcPr>
            <w:tcW w:type="dxa" w:w="2183"/>
          </w:tcPr>
          <w:p>
            <w:pPr>
              <w:spacing w:after="0"/>
              <w:jc w:val="right"/>
            </w:pPr>
            <w:r>
              <w:rPr>
                <w:sz w:val="17"/>
              </w:rPr>
              <w:t>114,500,000</w:t>
            </w:r>
          </w:p>
        </w:tc>
        <w:tc>
          <w:tcPr>
            <w:tcW w:type="dxa" w:w="2183"/>
          </w:tcPr>
          <w:p>
            <w:pPr>
              <w:spacing w:after="0"/>
              <w:jc w:val="right"/>
            </w:pPr>
            <w:r>
              <w:rPr>
                <w:sz w:val="17"/>
              </w:rPr>
              <w:t>102,600,000</w:t>
            </w:r>
          </w:p>
        </w:tc>
      </w:tr>
      <w:tr>
        <w:tc>
          <w:tcPr>
            <w:tcW w:type="dxa" w:w="5556"/>
          </w:tcPr>
          <w:p>
            <w:pPr>
              <w:spacing w:after="0"/>
            </w:pPr>
            <w:r>
              <w:rPr>
                <w:sz w:val="17"/>
              </w:rPr>
              <w:t>Total liabilities and equity</w:t>
            </w:r>
          </w:p>
        </w:tc>
        <w:tc>
          <w:tcPr>
            <w:tcW w:type="dxa" w:w="2183"/>
          </w:tcPr>
          <w:p>
            <w:pPr>
              <w:spacing w:after="0"/>
              <w:jc w:val="right"/>
            </w:pPr>
            <w:r>
              <w:rPr>
                <w:sz w:val="17"/>
              </w:rPr>
              <w:t>364,500,000</w:t>
            </w:r>
          </w:p>
        </w:tc>
        <w:tc>
          <w:tcPr>
            <w:tcW w:type="dxa" w:w="2183"/>
          </w:tcPr>
          <w:p>
            <w:pPr>
              <w:spacing w:after="0"/>
              <w:jc w:val="right"/>
            </w:pPr>
            <w:r>
              <w:rPr>
                <w:sz w:val="17"/>
              </w:rPr>
              <w:t>302,800,000</w:t>
            </w:r>
          </w:p>
        </w:tc>
      </w:tr>
    </w:tbl>
    <w:p/>
    <w:p>
      <w:pPr>
        <w:spacing w:before="160"/>
      </w:pPr>
      <w:r>
        <w:rPr>
          <w:b/>
          <w:color w:val="2B3A55"/>
          <w:sz w:val="22"/>
        </w:rPr>
        <w:t>Statement of profit or loss</w:t>
      </w:r>
    </w:p>
    <w:tbl>
      <w:tblPr>
        <w:tblStyle w:val="TableGrid"/>
        <w:tblW w:type="auto" w:w="0"/>
        <w:jc w:val="center"/>
        <w:tblLayout w:type="fixed"/>
        <w:tblLook w:firstColumn="1" w:firstRow="1" w:lastColumn="0" w:lastRow="0" w:noHBand="0" w:noVBand="1" w:val="04A0"/>
      </w:tblPr>
      <w:tblGrid>
        <w:gridCol w:w="5556"/>
        <w:gridCol w:w="2183"/>
        <w:gridCol w:w="2183"/>
      </w:tblGrid>
      <w:tr>
        <w:tc>
          <w:tcPr>
            <w:tcW w:type="dxa" w:w="5556"/>
            <w:shd w:val="clear" w:color="auto" w:fill="e9e6df"/>
          </w:tcPr>
          <w:p>
            <w:pPr>
              <w:spacing w:after="0"/>
            </w:pPr>
            <w:r>
              <w:rPr>
                <w:b/>
                <w:sz w:val="17"/>
              </w:rPr>
              <w:t>SAR</w:t>
            </w:r>
          </w:p>
        </w:tc>
        <w:tc>
          <w:tcPr>
            <w:tcW w:type="dxa" w:w="2183"/>
            <w:shd w:val="clear" w:color="auto" w:fill="e9e6df"/>
          </w:tcPr>
          <w:p>
            <w:pPr>
              <w:spacing w:after="0"/>
            </w:pPr>
            <w:r>
              <w:rPr>
                <w:b/>
                <w:sz w:val="17"/>
              </w:rPr>
              <w:t>FY2025</w:t>
            </w:r>
          </w:p>
        </w:tc>
        <w:tc>
          <w:tcPr>
            <w:tcW w:type="dxa" w:w="2183"/>
            <w:shd w:val="clear" w:color="auto" w:fill="e9e6df"/>
          </w:tcPr>
          <w:p>
            <w:pPr>
              <w:spacing w:after="0"/>
            </w:pPr>
            <w:r>
              <w:rPr>
                <w:b/>
                <w:sz w:val="17"/>
              </w:rPr>
              <w:t>FY2024</w:t>
            </w:r>
          </w:p>
        </w:tc>
      </w:tr>
      <w:tr>
        <w:tc>
          <w:tcPr>
            <w:tcW w:type="dxa" w:w="5556"/>
          </w:tcPr>
          <w:p>
            <w:pPr>
              <w:spacing w:after="0"/>
            </w:pPr>
            <w:r>
              <w:rPr>
                <w:sz w:val="17"/>
              </w:rPr>
              <w:t>Revenue</w:t>
            </w:r>
          </w:p>
        </w:tc>
        <w:tc>
          <w:tcPr>
            <w:tcW w:type="dxa" w:w="2183"/>
          </w:tcPr>
          <w:p>
            <w:pPr>
              <w:spacing w:after="0"/>
              <w:jc w:val="right"/>
            </w:pPr>
            <w:r>
              <w:rPr>
                <w:sz w:val="17"/>
              </w:rPr>
              <w:t>468,200,000</w:t>
            </w:r>
          </w:p>
        </w:tc>
        <w:tc>
          <w:tcPr>
            <w:tcW w:type="dxa" w:w="2183"/>
          </w:tcPr>
          <w:p>
            <w:pPr>
              <w:spacing w:after="0"/>
              <w:jc w:val="right"/>
            </w:pPr>
            <w:r>
              <w:rPr>
                <w:sz w:val="17"/>
              </w:rPr>
              <w:t>402,600,000</w:t>
            </w:r>
          </w:p>
        </w:tc>
      </w:tr>
      <w:tr>
        <w:tc>
          <w:tcPr>
            <w:tcW w:type="dxa" w:w="5556"/>
          </w:tcPr>
          <w:p>
            <w:pPr>
              <w:spacing w:after="0"/>
            </w:pPr>
            <w:r>
              <w:rPr>
                <w:sz w:val="17"/>
              </w:rPr>
              <w:t>Cost of revenue</w:t>
            </w:r>
          </w:p>
        </w:tc>
        <w:tc>
          <w:tcPr>
            <w:tcW w:type="dxa" w:w="2183"/>
          </w:tcPr>
          <w:p>
            <w:pPr>
              <w:spacing w:after="0"/>
              <w:jc w:val="right"/>
            </w:pPr>
            <w:r>
              <w:rPr>
                <w:sz w:val="17"/>
              </w:rPr>
              <w:t>413,000,000</w:t>
            </w:r>
          </w:p>
        </w:tc>
        <w:tc>
          <w:tcPr>
            <w:tcW w:type="dxa" w:w="2183"/>
          </w:tcPr>
          <w:p>
            <w:pPr>
              <w:spacing w:after="0"/>
              <w:jc w:val="right"/>
            </w:pPr>
            <w:r>
              <w:rPr>
                <w:sz w:val="17"/>
              </w:rPr>
              <w:t>352,300,000</w:t>
            </w:r>
          </w:p>
        </w:tc>
      </w:tr>
      <w:tr>
        <w:tc>
          <w:tcPr>
            <w:tcW w:type="dxa" w:w="5556"/>
          </w:tcPr>
          <w:p>
            <w:pPr>
              <w:spacing w:after="0"/>
            </w:pPr>
            <w:r>
              <w:rPr>
                <w:sz w:val="17"/>
              </w:rPr>
              <w:t>Gross profit</w:t>
            </w:r>
          </w:p>
        </w:tc>
        <w:tc>
          <w:tcPr>
            <w:tcW w:type="dxa" w:w="2183"/>
          </w:tcPr>
          <w:p>
            <w:pPr>
              <w:spacing w:after="0"/>
              <w:jc w:val="right"/>
            </w:pPr>
            <w:r>
              <w:rPr>
                <w:sz w:val="17"/>
              </w:rPr>
              <w:t>55,200,000</w:t>
            </w:r>
          </w:p>
        </w:tc>
        <w:tc>
          <w:tcPr>
            <w:tcW w:type="dxa" w:w="2183"/>
          </w:tcPr>
          <w:p>
            <w:pPr>
              <w:spacing w:after="0"/>
              <w:jc w:val="right"/>
            </w:pPr>
            <w:r>
              <w:rPr>
                <w:sz w:val="17"/>
              </w:rPr>
              <w:t>50,300,000</w:t>
            </w:r>
          </w:p>
        </w:tc>
      </w:tr>
      <w:tr>
        <w:tc>
          <w:tcPr>
            <w:tcW w:type="dxa" w:w="5556"/>
          </w:tcPr>
          <w:p>
            <w:pPr>
              <w:spacing w:after="0"/>
            </w:pPr>
            <w:r>
              <w:rPr>
                <w:sz w:val="17"/>
              </w:rPr>
              <w:t>Operating expenses</w:t>
            </w:r>
          </w:p>
        </w:tc>
        <w:tc>
          <w:tcPr>
            <w:tcW w:type="dxa" w:w="2183"/>
          </w:tcPr>
          <w:p>
            <w:pPr>
              <w:spacing w:after="0"/>
              <w:jc w:val="right"/>
            </w:pPr>
            <w:r>
              <w:rPr>
                <w:sz w:val="17"/>
              </w:rPr>
              <w:t>23,900,000</w:t>
            </w:r>
          </w:p>
        </w:tc>
        <w:tc>
          <w:tcPr>
            <w:tcW w:type="dxa" w:w="2183"/>
          </w:tcPr>
          <w:p>
            <w:pPr>
              <w:spacing w:after="0"/>
              <w:jc w:val="right"/>
            </w:pPr>
            <w:r>
              <w:rPr>
                <w:sz w:val="17"/>
              </w:rPr>
              <w:t>21,400,000</w:t>
            </w:r>
          </w:p>
        </w:tc>
      </w:tr>
      <w:tr>
        <w:tc>
          <w:tcPr>
            <w:tcW w:type="dxa" w:w="5556"/>
          </w:tcPr>
          <w:p>
            <w:pPr>
              <w:spacing w:after="0"/>
            </w:pPr>
            <w:r>
              <w:rPr>
                <w:sz w:val="17"/>
              </w:rPr>
              <w:t>Operating profit</w:t>
            </w:r>
          </w:p>
        </w:tc>
        <w:tc>
          <w:tcPr>
            <w:tcW w:type="dxa" w:w="2183"/>
          </w:tcPr>
          <w:p>
            <w:pPr>
              <w:spacing w:after="0"/>
              <w:jc w:val="right"/>
            </w:pPr>
            <w:r>
              <w:rPr>
                <w:sz w:val="17"/>
              </w:rPr>
              <w:t>31,300,000</w:t>
            </w:r>
          </w:p>
        </w:tc>
        <w:tc>
          <w:tcPr>
            <w:tcW w:type="dxa" w:w="2183"/>
          </w:tcPr>
          <w:p>
            <w:pPr>
              <w:spacing w:after="0"/>
              <w:jc w:val="right"/>
            </w:pPr>
            <w:r>
              <w:rPr>
                <w:sz w:val="17"/>
              </w:rPr>
              <w:t>28,900,000</w:t>
            </w:r>
          </w:p>
        </w:tc>
      </w:tr>
      <w:tr>
        <w:tc>
          <w:tcPr>
            <w:tcW w:type="dxa" w:w="5556"/>
          </w:tcPr>
          <w:p>
            <w:pPr>
              <w:spacing w:after="0"/>
            </w:pPr>
            <w:r>
              <w:rPr>
                <w:sz w:val="17"/>
              </w:rPr>
              <w:t>Finance cost</w:t>
            </w:r>
          </w:p>
        </w:tc>
        <w:tc>
          <w:tcPr>
            <w:tcW w:type="dxa" w:w="2183"/>
          </w:tcPr>
          <w:p>
            <w:pPr>
              <w:spacing w:after="0"/>
              <w:jc w:val="right"/>
            </w:pPr>
            <w:r>
              <w:rPr>
                <w:sz w:val="17"/>
              </w:rPr>
              <w:t>12,600,000</w:t>
            </w:r>
          </w:p>
        </w:tc>
        <w:tc>
          <w:tcPr>
            <w:tcW w:type="dxa" w:w="2183"/>
          </w:tcPr>
          <w:p>
            <w:pPr>
              <w:spacing w:after="0"/>
              <w:jc w:val="right"/>
            </w:pPr>
            <w:r>
              <w:rPr>
                <w:sz w:val="17"/>
              </w:rPr>
              <w:t>9,800,000</w:t>
            </w:r>
          </w:p>
        </w:tc>
      </w:tr>
      <w:tr>
        <w:tc>
          <w:tcPr>
            <w:tcW w:type="dxa" w:w="5556"/>
          </w:tcPr>
          <w:p>
            <w:pPr>
              <w:spacing w:after="0"/>
            </w:pPr>
            <w:r>
              <w:rPr>
                <w:sz w:val="17"/>
              </w:rPr>
              <w:t>Zakat</w:t>
            </w:r>
          </w:p>
        </w:tc>
        <w:tc>
          <w:tcPr>
            <w:tcW w:type="dxa" w:w="2183"/>
          </w:tcPr>
          <w:p>
            <w:pPr>
              <w:spacing w:after="0"/>
              <w:jc w:val="right"/>
            </w:pPr>
            <w:r>
              <w:rPr>
                <w:sz w:val="17"/>
              </w:rPr>
              <w:t>1,800,000</w:t>
            </w:r>
          </w:p>
        </w:tc>
        <w:tc>
          <w:tcPr>
            <w:tcW w:type="dxa" w:w="2183"/>
          </w:tcPr>
          <w:p>
            <w:pPr>
              <w:spacing w:after="0"/>
              <w:jc w:val="right"/>
            </w:pPr>
            <w:r>
              <w:rPr>
                <w:sz w:val="17"/>
              </w:rPr>
              <w:t>1,600,000</w:t>
            </w:r>
          </w:p>
        </w:tc>
      </w:tr>
      <w:tr>
        <w:tc>
          <w:tcPr>
            <w:tcW w:type="dxa" w:w="5556"/>
          </w:tcPr>
          <w:p>
            <w:pPr>
              <w:spacing w:after="0"/>
            </w:pPr>
            <w:r>
              <w:rPr>
                <w:sz w:val="17"/>
              </w:rPr>
              <w:t>Net profit</w:t>
            </w:r>
          </w:p>
        </w:tc>
        <w:tc>
          <w:tcPr>
            <w:tcW w:type="dxa" w:w="2183"/>
          </w:tcPr>
          <w:p>
            <w:pPr>
              <w:spacing w:after="0"/>
              <w:jc w:val="right"/>
            </w:pPr>
            <w:r>
              <w:rPr>
                <w:sz w:val="17"/>
              </w:rPr>
              <w:t>16,900,000</w:t>
            </w:r>
          </w:p>
        </w:tc>
        <w:tc>
          <w:tcPr>
            <w:tcW w:type="dxa" w:w="2183"/>
          </w:tcPr>
          <w:p>
            <w:pPr>
              <w:spacing w:after="0"/>
              <w:jc w:val="right"/>
            </w:pPr>
            <w:r>
              <w:rPr>
                <w:sz w:val="17"/>
              </w:rPr>
              <w:t>17,500,000</w:t>
            </w:r>
          </w:p>
        </w:tc>
      </w:tr>
    </w:tbl>
    <w:p/>
    <w:p>
      <w:pPr>
        <w:spacing w:before="160"/>
      </w:pPr>
      <w:r>
        <w:rPr>
          <w:b/>
          <w:color w:val="2B3A55"/>
          <w:sz w:val="22"/>
        </w:rPr>
        <w:t>Statement of cash flows (summary)</w:t>
      </w:r>
    </w:p>
    <w:tbl>
      <w:tblPr>
        <w:tblStyle w:val="TableGrid"/>
        <w:tblW w:type="auto" w:w="0"/>
        <w:jc w:val="center"/>
        <w:tblLayout w:type="fixed"/>
        <w:tblLook w:firstColumn="1" w:firstRow="1" w:lastColumn="0" w:lastRow="0" w:noHBand="0" w:noVBand="1" w:val="04A0"/>
      </w:tblPr>
      <w:tblGrid>
        <w:gridCol w:w="6548"/>
        <w:gridCol w:w="3373"/>
      </w:tblGrid>
      <w:tr>
        <w:tc>
          <w:tcPr>
            <w:tcW w:type="dxa" w:w="6548"/>
            <w:shd w:val="clear" w:color="auto" w:fill="e9e6df"/>
          </w:tcPr>
          <w:p>
            <w:pPr>
              <w:spacing w:after="0"/>
            </w:pPr>
            <w:r>
              <w:rPr>
                <w:b/>
                <w:sz w:val="17"/>
              </w:rPr>
              <w:t>SAR</w:t>
            </w:r>
          </w:p>
        </w:tc>
        <w:tc>
          <w:tcPr>
            <w:tcW w:type="dxa" w:w="3373"/>
            <w:shd w:val="clear" w:color="auto" w:fill="e9e6df"/>
          </w:tcPr>
          <w:p>
            <w:pPr>
              <w:spacing w:after="0"/>
            </w:pPr>
            <w:r>
              <w:rPr>
                <w:b/>
                <w:sz w:val="17"/>
              </w:rPr>
              <w:t>FY2025</w:t>
            </w:r>
          </w:p>
        </w:tc>
      </w:tr>
      <w:tr>
        <w:tc>
          <w:tcPr>
            <w:tcW w:type="dxa" w:w="6548"/>
          </w:tcPr>
          <w:p>
            <w:pPr>
              <w:spacing w:after="0"/>
            </w:pPr>
            <w:r>
              <w:rPr>
                <w:sz w:val="17"/>
              </w:rPr>
              <w:t>Net profit</w:t>
            </w:r>
          </w:p>
        </w:tc>
        <w:tc>
          <w:tcPr>
            <w:tcW w:type="dxa" w:w="3373"/>
          </w:tcPr>
          <w:p>
            <w:pPr>
              <w:spacing w:after="0"/>
              <w:jc w:val="right"/>
            </w:pPr>
            <w:r>
              <w:rPr>
                <w:sz w:val="17"/>
              </w:rPr>
              <w:t>16,900,000</w:t>
            </w:r>
          </w:p>
        </w:tc>
      </w:tr>
      <w:tr>
        <w:tc>
          <w:tcPr>
            <w:tcW w:type="dxa" w:w="6548"/>
          </w:tcPr>
          <w:p>
            <w:pPr>
              <w:spacing w:after="0"/>
            </w:pPr>
            <w:r>
              <w:rPr>
                <w:sz w:val="17"/>
              </w:rPr>
              <w:t>Depreciation and amortisation</w:t>
            </w:r>
          </w:p>
        </w:tc>
        <w:tc>
          <w:tcPr>
            <w:tcW w:type="dxa" w:w="3373"/>
          </w:tcPr>
          <w:p>
            <w:pPr>
              <w:spacing w:after="0"/>
              <w:jc w:val="right"/>
            </w:pPr>
            <w:r>
              <w:rPr>
                <w:sz w:val="17"/>
              </w:rPr>
              <w:t>12,400,000</w:t>
            </w:r>
          </w:p>
        </w:tc>
      </w:tr>
      <w:tr>
        <w:tc>
          <w:tcPr>
            <w:tcW w:type="dxa" w:w="6548"/>
          </w:tcPr>
          <w:p>
            <w:pPr>
              <w:spacing w:after="0"/>
            </w:pPr>
            <w:r>
              <w:rPr>
                <w:sz w:val="17"/>
              </w:rPr>
              <w:t>Working capital changes and other</w:t>
            </w:r>
          </w:p>
        </w:tc>
        <w:tc>
          <w:tcPr>
            <w:tcW w:type="dxa" w:w="3373"/>
          </w:tcPr>
          <w:p>
            <w:pPr>
              <w:spacing w:after="0"/>
              <w:jc w:val="right"/>
            </w:pPr>
            <w:r>
              <w:rPr>
                <w:sz w:val="17"/>
              </w:rPr>
              <w:t>(39,900,000)</w:t>
            </w:r>
          </w:p>
        </w:tc>
      </w:tr>
      <w:tr>
        <w:tc>
          <w:tcPr>
            <w:tcW w:type="dxa" w:w="6548"/>
          </w:tcPr>
          <w:p>
            <w:pPr>
              <w:spacing w:after="0"/>
            </w:pPr>
            <w:r>
              <w:rPr>
                <w:sz w:val="17"/>
              </w:rPr>
              <w:t>Net cash from operating activities</w:t>
            </w:r>
          </w:p>
        </w:tc>
        <w:tc>
          <w:tcPr>
            <w:tcW w:type="dxa" w:w="3373"/>
          </w:tcPr>
          <w:p>
            <w:pPr>
              <w:spacing w:after="0"/>
              <w:jc w:val="right"/>
            </w:pPr>
            <w:r>
              <w:rPr>
                <w:sz w:val="17"/>
              </w:rPr>
              <w:t>(10,600,000)</w:t>
            </w:r>
          </w:p>
        </w:tc>
      </w:tr>
    </w:tbl>
    <w:p/>
    <w:p>
      <w:r>
        <w:br w:type="page"/>
      </w:r>
    </w:p>
    <w:p>
      <w:pPr>
        <w:spacing w:before="160"/>
      </w:pPr>
      <w:r>
        <w:rPr>
          <w:b/>
          <w:color w:val="2B3A55"/>
          <w:sz w:val="22"/>
        </w:rPr>
        <w:t>Selected notes</w:t>
      </w:r>
    </w:p>
    <w:p>
      <w:r>
        <w:rPr>
          <w:b/>
        </w:rPr>
        <w:t>Note 9 — Trade receivables and retention</w:t>
      </w:r>
    </w:p>
    <w:p>
      <w:r>
        <w:t>Trade receivables SAR 96,400,000 (2024: 88,100,000) include SAR 23,239,000 certified by the Engineer on the Eastern Corridor Logistics Hub — Package B for Sharqiya Logistics Development Co. (SLDC) and unpaid at 31/12/2025, of which SAR 7,667,000 beyond the 56-day payment term. The Company submitted a claim for an extension of time of five months; the employer has not yet approved it. Retention receivables SAR 41,800,000 (2024: 27,900,000).</w:t>
      </w:r>
    </w:p>
    <w:p>
      <w:r>
        <w:rPr>
          <w:b/>
        </w:rPr>
        <w:t>Note 11 — Contract assets</w:t>
      </w:r>
    </w:p>
    <w:p>
      <w:r>
        <w:t>Work performed not yet certified SAR 88,700,000 (2024: 61,200,000), including variation claims of SAR 12,400,000 not yet acknowledged by the employers.</w:t>
      </w:r>
    </w:p>
    <w:p>
      <w:r>
        <w:rPr>
          <w:b/>
        </w:rPr>
        <w:t>Note 14 — Related parties</w:t>
      </w:r>
    </w:p>
    <w:p>
      <w:r>
        <w:t>Due from Sawaed Heavy Equipment Rental Co. SAR 18,900,000 (2024: 9,600,000): equipment-hire advances, unsecured, no fixed repayment date. Equipment hire charged: SAR 17,800,000.</w:t>
      </w:r>
    </w:p>
    <w:p>
      <w:r>
        <w:rPr>
          <w:b/>
        </w:rPr>
        <w:t>Note 18 — Contingent liabilities</w:t>
      </w:r>
    </w:p>
    <w:p>
      <w:r>
        <w:t>Letters of guarantee SAR 119,600,000 (2024: 96,300,000): Sandstone Harbour Bank SAR 60,600,000, Arabian Crescent Bank SAR 59,000,000. Letters of credit SAR 6,300,000.</w:t>
      </w:r>
    </w:p>
    <w:p>
      <w:r>
        <w:rPr>
          <w:b/>
        </w:rPr>
        <w:t>Note 22 — Borrowings</w:t>
      </w:r>
    </w:p>
    <w:p>
      <w:r>
        <w:t>Short-term Murabaha and overdraft Sandstone Harbour Bank SAR 57,200,000, Arabian Crescent Bank SAR 41,400,000; equipment term loan (Arabian Crescent Bank) SAR 27,000,000 repayable quarterly to 2028, of which SAR 9,000,000 current.</w:t>
      </w:r>
    </w:p>
    <w:sectPr w:rsidR="00FC693F" w:rsidRPr="0006063C" w:rsidSect="00034616">
      <w:headerReference w:type="default" r:id="rId9"/>
      <w:foot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77777"/>
        <w:sz w:val="14"/>
      </w:rPr>
      <w:t>Fictional document (CreditProbe R16). All names and figures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2B3A55"/>
        <w:sz w:val="24"/>
      </w:rPr>
      <w:t>Qimam Al Sharq Certified Accountants</w:t>
    </w:r>
  </w:p>
  <w:p>
    <w:r>
      <w:rPr>
        <w:sz w:val="15"/>
      </w:rPr>
      <w:t>Certified public accountants · Dammam</w:t>
    </w:r>
  </w:p>
  <w:p>
    <w:r>
      <w:rPr>
        <w:sz w:val="15"/>
      </w:rPr>
      <w:t>Qawaem filing QW-2026-2050117342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SAWAED AL BINA CONTRACTING CO. — FINANCIAL STATEMENTS FY2025</dc:title>
  <dc:subject/>
  <dc:creator>Qimam Al Sharq Certified Accountants</dc:creator>
  <cp:keywords/>
  <dc:description>generated by python-docx</dc:description>
  <cp:lastModifiedBy/>
  <cp:revision>1</cp:revision>
  <dcterms:created xsi:type="dcterms:W3CDTF">2013-12-23T23:15:00Z</dcterms:created>
  <dcterms:modified xsi:type="dcterms:W3CDTF">2013-12-23T23:15:00Z</dcterms:modified>
  <cp:category/>
</cp:coreProperties>
</file>