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MANAGEMENT ACCOUNTS (UNAUDITED) — 9 MONTHS 2026</w:t>
      </w:r>
    </w:p>
    <w:p>
      <w:r>
        <w:t>Sawaed Al Bina Contracting Co.</w:t>
      </w:r>
    </w:p>
    <w:p>
      <w:r>
        <w:rPr>
          <w:sz w:val="16"/>
        </w:rPr>
        <w:t>Period 01/01/2026 –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01/01/2026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Prepared by: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Omar Khalil Haddad</w:t>
            </w:r>
          </w:p>
        </w:tc>
      </w:tr>
    </w:tbl>
    <w:p>
      <w:r>
        <w:t>Unaudited management accounts prepared by the company's finance department. Subject to year-end audit adjustments.</w:t>
      </w:r>
    </w:p>
    <w:p>
      <w:pPr>
        <w:spacing w:before="160"/>
      </w:pPr>
      <w:r>
        <w:rPr>
          <w:b/>
          <w:color w:val="264653"/>
          <w:sz w:val="22"/>
        </w:rPr>
        <w:t>Profit or loss, 1 January – 30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9M2026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352,400,000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314,000,000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38,400,000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18,600,000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19,800,000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11,100,000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8,700,000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Balance sheet at 30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30/09/2026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9,800,000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104,600,000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Retention receivables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55,436,000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Contract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97,300,000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13,000,000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Due from related parties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24,600,000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319,936,000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76,000,000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3,300,000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399,236,000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109,000,000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74,100,000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Due to related parties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2,300,000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56,786,000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9,000,000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251,186,000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11,250,000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13,600,000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276,036,000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50,000,000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58,200,000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123,200,000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399,236,000</w:t>
            </w:r>
          </w:p>
        </w:tc>
      </w:tr>
    </w:tbl>
    <w:p/>
    <w:p>
      <w:r>
        <w:t>Retention receivables and contract assets per the project schedule. Package B certificates IPC-12 to IPC-17 (SAR 69,812,000 net) were outstanding at 30/09/2026.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Omar Khalil Haddad</w:t>
              <w:br/>
              <w:t>Finance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Sawaed Al Bina Contracting Co.</w:t>
    </w:r>
  </w:p>
  <w:p>
    <w:r>
      <w:rPr>
        <w:sz w:val="15"/>
      </w:rPr>
      <w:t>CR 2050117342 · VAT 302050117300003 · King Saud Street, Al Faisaliyah, Dammam 32272</w:t>
    </w:r>
  </w:p>
  <w:p>
    <w:r>
      <w:rPr>
        <w:sz w:val="15"/>
      </w:rPr>
      <w:t>Tel +966 13 800 4412 · finance@sawaed-bina.example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ACCOUNTS (UNAUDITED) — 9 MONTHS 2026</dc:title>
  <dc:subject/>
  <dc:creator>Sawaed Al Bina Contracting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