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PARTNERS' RESOLUTION</w:t>
      </w:r>
    </w:p>
    <w:p>
      <w:r>
        <w:t>Resolution to borrow and give security</w:t>
      </w:r>
    </w:p>
    <w:p>
      <w:r>
        <w:rPr>
          <w:sz w:val="16"/>
        </w:rPr>
        <w:t>Resolution PR-2026-07 · 04/10/2026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PR-2026-07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Borrowing authorised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300,000,000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Authorised to sign: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 (Chairman and General Manager)</w:t>
            </w:r>
          </w:p>
        </w:tc>
      </w:tr>
    </w:tbl>
    <w:p>
      <w:r>
        <w:t>The partners resolved to obtain credit facilities from banks up to a total of SAR 300,000,000 (including the existing facilities), to assign contract proceeds of Package C to Sandstone Harbour Bank, and to authorise the Chairman and General Manager to sign all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Turki Hamad Al-Sawaed</w:t>
              <w:br/>
              <w:t>Partner (65.0%)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Nasser Hamad Al-Sawaed</w:t>
              <w:br/>
              <w:t>Partner (35.0%)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PARTNERS' RESOLUTION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