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STATEMENT OF FACILITIES</w:t>
      </w:r>
    </w:p>
    <w:p>
      <w:r>
        <w:t>Sawaed Al Bina Contracting Co.</w:t>
      </w:r>
    </w:p>
    <w:p>
      <w:r>
        <w:rPr>
          <w:sz w:val="16"/>
        </w:rPr>
        <w:t>As at 30/09/2026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Arabian Crescent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140,250,000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124,950,000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687"/>
        <w:gridCol w:w="1687"/>
        <w:gridCol w:w="1389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Overdue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Maturity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Short-term Murabaha (working capital)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50,000,000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46,300,000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rolling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guarantee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70,000,000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58,400,000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LG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Term loan (equipment)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20,250,000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20,250,000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2028-06-30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Arabian Crescent Bank</w:t>
    </w:r>
  </w:p>
  <w:p>
    <w:r>
      <w:rPr>
        <w:sz w:val="15"/>
      </w:rPr>
      <w:t>Liability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FACILITIES</dc:title>
  <dc:subject/>
  <dc:creator>Arabian Crescent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