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RECEIVABLES AGEING</w:t>
      </w:r>
    </w:p>
    <w:p>
      <w:r>
        <w:t>As at 30/09/2026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As of: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30/09/2026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receivables: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104,600,000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0-90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72,068,000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91-180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12,032,000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181-365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6,300,000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Over 365 days: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14,200,000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389"/>
        <w:gridCol w:w="1389"/>
        <w:gridCol w:w="1389"/>
        <w:gridCol w:w="1389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0-90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91-180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181-365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Over 365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Sharqiya Logistics Development Co. (SLDC)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59,580,000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10,232,000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69,812,000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Qamar Al Khaleej Real Estate Development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5,200,000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1,800,000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7,000,000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Eastern Industrial Estates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2,200,000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Sahil Education Projects Co.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4,100,000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Closed projects and variation claims (various)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988,000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21,488,000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Total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72,068,000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12,032,000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6,300,000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14,200,000</w:t>
            </w:r>
          </w:p>
        </w:tc>
        <w:tc>
          <w:tcPr>
            <w:tcW w:type="dxa" w:w="1389"/>
          </w:tcPr>
          <w:p>
            <w:pPr>
              <w:spacing w:after="0"/>
              <w:jc w:val="right"/>
            </w:pPr>
            <w:r>
              <w:rPr>
                <w:sz w:val="17"/>
              </w:rPr>
              <w:t>104,600,000</w:t>
            </w:r>
          </w:p>
        </w:tc>
      </w:tr>
    </w:tbl>
    <w:p/>
    <w:p>
      <w:r>
        <w:t>Retention receivables (SAR 55,436,000) are shown separately in the project list and are not included above.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Sawaed Al Bina Contracting Co.</w:t>
    </w:r>
  </w:p>
  <w:p>
    <w:r>
      <w:rPr>
        <w:sz w:val="15"/>
      </w:rPr>
      <w:t>CR 2050117342 · VAT 302050117300003 · King Saud Street, Al Faisaliyah, Dammam 32272</w:t>
    </w:r>
  </w:p>
  <w:p>
    <w:r>
      <w:rPr>
        <w:sz w:val="15"/>
      </w:rPr>
      <w:t>Tel +966 13 800 4412 · finance@sawaed-bina.example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RECEIVABLES AGEING</dc:title>
  <dc:subject/>
  <dc:creator>Sawaed Al Bina Contracting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