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TOP CUSTOMERS AND SUPPLIERS</w:t>
      </w:r>
    </w:p>
    <w:p>
      <w:r>
        <w:t>Financial year 2025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Year: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2,025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Top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786"/>
        <w:gridCol w:w="1786"/>
        <w:gridCol w:w="992"/>
        <w:gridCol w:w="2381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Sales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38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Sharqiya Logistics Development Co. (SLDC)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 (government-linked)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128,400,000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27.4%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56 days from certification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Qamar Al Khaleej Real Estate Development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112,600,000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24.0%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45 days from certification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Eastern Industrial Estates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96,100,000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20.5%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 days from certification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Sahil Education Projects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21,600,000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4.6%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 days from certification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Other (closed projects, maintenance)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109,500,000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23.4%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various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Top suppliers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984"/>
        <w:gridCol w:w="992"/>
        <w:gridCol w:w="2580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Purchases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Gulf Rebar Trading Co.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61,800,000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15.0%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60 days, LC / open account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Eastern Ready Mix Concrete Co.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49,400,000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12.0%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45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Sawaed Heavy Equipment Rental Co.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17,800,000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4.3%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advance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Bayan MEP Subcontracting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44,600,000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10.8%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back-to-back with certificates</w:t>
            </w:r>
          </w:p>
        </w:tc>
      </w:tr>
    </w:tbl>
    <w:p/>
    <w:p>
      <w:r>
        <w:t>Sales shares are of FY2025 revenue (SAR 468,200,000).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CUSTOMERS AND SUPPLIERS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