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PROJECT LIST — WORK IN HAND</w:t>
      </w:r>
    </w:p>
    <w:p>
      <w:r>
        <w:t>As at 30/09/2026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As of: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"/>
        <w:gridCol w:w="1488"/>
        <w:gridCol w:w="1290"/>
        <w:gridCol w:w="893"/>
        <w:gridCol w:w="694"/>
        <w:gridCol w:w="794"/>
        <w:gridCol w:w="496"/>
        <w:gridCol w:w="893"/>
        <w:gridCol w:w="893"/>
        <w:gridCol w:w="794"/>
        <w:gridCol w:w="1191"/>
      </w:tblGrid>
      <w:tr>
        <w:tc>
          <w:tcPr>
            <w:tcW w:type="dxa" w:w="49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Project</w:t>
            </w:r>
          </w:p>
        </w:tc>
        <w:tc>
          <w:tcPr>
            <w:tcW w:type="dxa" w:w="129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Employer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Contract value</w:t>
            </w:r>
          </w:p>
        </w:tc>
        <w:tc>
          <w:tcPr>
            <w:tcW w:type="dxa" w:w="69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Start</w:t>
            </w:r>
          </w:p>
        </w:tc>
        <w:tc>
          <w:tcPr>
            <w:tcW w:type="dxa" w:w="79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Completion</w:t>
            </w:r>
          </w:p>
        </w:tc>
        <w:tc>
          <w:tcPr>
            <w:tcW w:type="dxa" w:w="49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Done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Billed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Received</w:t>
            </w:r>
          </w:p>
        </w:tc>
        <w:tc>
          <w:tcPr>
            <w:tcW w:type="dxa" w:w="79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Retention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496"/>
          </w:tcPr>
          <w:p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Eastern Corridor Logistics Hub — Package B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sz w:val="15"/>
              </w:rPr>
              <w:t>Sharqiya Logistics Development Co. (SLDC)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486,000,000</w:t>
            </w:r>
          </w:p>
        </w:tc>
        <w:tc>
          <w:tcPr>
            <w:tcW w:type="dxa" w:w="694"/>
          </w:tcPr>
          <w:p>
            <w:pPr>
              <w:spacing w:after="0"/>
            </w:pPr>
            <w:r>
              <w:rPr>
                <w:sz w:val="15"/>
              </w:rPr>
              <w:t>01/03/2025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31/01/2028</w:t>
            </w:r>
          </w:p>
        </w:tc>
        <w:tc>
          <w:tcPr>
            <w:tcW w:type="dxa" w:w="496"/>
          </w:tcPr>
          <w:p>
            <w:pPr>
              <w:spacing w:after="0"/>
              <w:jc w:val="right"/>
            </w:pPr>
            <w:r>
              <w:rPr>
                <w:sz w:val="15"/>
              </w:rPr>
              <w:t>41%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187,160,000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79,918,000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5"/>
              </w:rPr>
              <w:t>18,715,000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In progress (revised completion per EOT request)</w:t>
            </w:r>
          </w:p>
        </w:tc>
      </w:tr>
      <w:tr>
        <w:tc>
          <w:tcPr>
            <w:tcW w:type="dxa" w:w="496"/>
          </w:tcPr>
          <w:p>
            <w:pPr>
              <w:spacing w:after="0"/>
            </w:pPr>
            <w:r>
              <w:rPr>
                <w:sz w:val="15"/>
              </w:rPr>
              <w:t>P2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Al Khobar Waterfront Residential Towers (2 towers)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sz w:val="15"/>
              </w:rPr>
              <w:t>Qamar Al Khaleej Real Estate Development Co.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212,000,000</w:t>
            </w:r>
          </w:p>
        </w:tc>
        <w:tc>
          <w:tcPr>
            <w:tcW w:type="dxa" w:w="694"/>
          </w:tcPr>
          <w:p>
            <w:pPr>
              <w:spacing w:after="0"/>
            </w:pPr>
            <w:r>
              <w:rPr>
                <w:sz w:val="15"/>
              </w:rPr>
              <w:t>15/01/2024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31/12/2026</w:t>
            </w:r>
          </w:p>
        </w:tc>
        <w:tc>
          <w:tcPr>
            <w:tcW w:type="dxa" w:w="496"/>
          </w:tcPr>
          <w:p>
            <w:pPr>
              <w:spacing w:after="0"/>
              <w:jc w:val="right"/>
            </w:pPr>
            <w:r>
              <w:rPr>
                <w:sz w:val="15"/>
              </w:rPr>
              <w:t>88%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186,560,000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160,900,000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5"/>
              </w:rPr>
              <w:t>18,656,000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In progress</w:t>
            </w:r>
          </w:p>
        </w:tc>
      </w:tr>
      <w:tr>
        <w:tc>
          <w:tcPr>
            <w:tcW w:type="dxa" w:w="496"/>
          </w:tcPr>
          <w:p>
            <w:pPr>
              <w:spacing w:after="0"/>
            </w:pPr>
            <w:r>
              <w:rPr>
                <w:sz w:val="15"/>
              </w:rPr>
              <w:t>P3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Second Industrial Estate — Roads Package 4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sz w:val="15"/>
              </w:rPr>
              <w:t>Eastern Industrial Estates Co.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164,000,000</w:t>
            </w:r>
          </w:p>
        </w:tc>
        <w:tc>
          <w:tcPr>
            <w:tcW w:type="dxa" w:w="694"/>
          </w:tcPr>
          <w:p>
            <w:pPr>
              <w:spacing w:after="0"/>
            </w:pPr>
            <w:r>
              <w:rPr>
                <w:sz w:val="15"/>
              </w:rPr>
              <w:t>01/06/2024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15/09/2026</w:t>
            </w:r>
          </w:p>
        </w:tc>
        <w:tc>
          <w:tcPr>
            <w:tcW w:type="dxa" w:w="496"/>
          </w:tcPr>
          <w:p>
            <w:pPr>
              <w:spacing w:after="0"/>
              <w:jc w:val="right"/>
            </w:pPr>
            <w:r>
              <w:rPr>
                <w:sz w:val="15"/>
              </w:rPr>
              <w:t>97%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159,080,000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141,000,000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5"/>
              </w:rPr>
              <w:t>15,908,000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Substantially complete; defects liability period</w:t>
            </w:r>
          </w:p>
        </w:tc>
      </w:tr>
      <w:tr>
        <w:tc>
          <w:tcPr>
            <w:tcW w:type="dxa" w:w="496"/>
          </w:tcPr>
          <w:p>
            <w:pPr>
              <w:spacing w:after="0"/>
            </w:pPr>
            <w:r>
              <w:rPr>
                <w:sz w:val="15"/>
              </w:rPr>
              <w:t>P4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Jubail School Complex (3 schools)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sz w:val="15"/>
              </w:rPr>
              <w:t>Sahil Education Projects Co.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98,000,000</w:t>
            </w:r>
          </w:p>
        </w:tc>
        <w:tc>
          <w:tcPr>
            <w:tcW w:type="dxa" w:w="694"/>
          </w:tcPr>
          <w:p>
            <w:pPr>
              <w:spacing w:after="0"/>
            </w:pPr>
            <w:r>
              <w:rPr>
                <w:sz w:val="15"/>
              </w:rPr>
              <w:t>01/09/2025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31/03/2027</w:t>
            </w:r>
          </w:p>
        </w:tc>
        <w:tc>
          <w:tcPr>
            <w:tcW w:type="dxa" w:w="496"/>
          </w:tcPr>
          <w:p>
            <w:pPr>
              <w:spacing w:after="0"/>
              <w:jc w:val="right"/>
            </w:pPr>
            <w:r>
              <w:rPr>
                <w:sz w:val="15"/>
              </w:rPr>
              <w:t>22%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21,560,000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15,300,000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5"/>
              </w:rPr>
              <w:t>2,156,000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In progress</w:t>
            </w:r>
          </w:p>
        </w:tc>
      </w:tr>
    </w:tbl>
    <w:p/>
    <w:p>
      <w:r>
        <w:t>Package B: revised completion 31/01/2028 reflects the extension of time requested on 14/04/2026 (five months).</w:t>
      </w:r>
    </w:p>
    <w:p>
      <w:r>
        <w:t>New award (subject of the facility request): Eastern Corridor Logistics Hub — Package C, SAR 312,000,000, letter of award dated 22/09/2026, commencement expected 01/12/2026, 24 months.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Sawaed Al Bina Contracting Co.</w:t>
    </w:r>
  </w:p>
  <w:p>
    <w:r>
      <w:rPr>
        <w:sz w:val="15"/>
      </w:rPr>
      <w:t>CR 2050117342 · VAT 302050117300003 · King Saud Street, Al Faisaliyah, Dammam 32272</w:t>
    </w:r>
  </w:p>
  <w:p>
    <w:r>
      <w:rPr>
        <w:sz w:val="15"/>
      </w:rPr>
      <w:t>Tel +966 13 800 4412 · finance@sawaed-bina.example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LIST — WORK IN HAND</dc:title>
  <dc:subject/>
  <dc:creator>Sawaed Al Bina Contracting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