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IPC-12</w:t>
      </w:r>
    </w:p>
    <w:p>
      <w:r>
        <w:rPr>
          <w:sz w:val="16"/>
        </w:rPr>
        <w:t>Work up to 31/03/2026 · certified 19/04/2026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31/03/2026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19/04/2026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112,686,000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12,790,000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1,279,000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1,279,000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10,232,000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11,268,000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14/06/2026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112,686,000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99,896,000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12,790,000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1,279,000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1,279,000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10,232,000</w:t>
            </w:r>
          </w:p>
        </w:tc>
      </w:tr>
    </w:tbl>
    <w:p/>
    <w:p>
      <w:r>
        <w:t>Payable within 56 days of certification, i.e. by 14/06/2026. Cumulative retention held: SAR 11,268,000.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