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33415C"/>
          <w:sz w:val="30"/>
        </w:rPr>
        <w:t>INTERIM PAYMENT CERTIFICATE</w:t>
      </w:r>
    </w:p>
    <w:p>
      <w:r>
        <w:t>Eastern Corridor Logistics Hub — Package B · IPC-14</w:t>
      </w:r>
    </w:p>
    <w:p>
      <w:r>
        <w:rPr>
          <w:sz w:val="16"/>
        </w:rPr>
        <w:t>Work up to 31/05/2026 · certified 21/06/2026</w:t>
      </w:r>
    </w:p>
    <w:p>
      <w:pPr>
        <w:spacing w:before="160"/>
      </w:pPr>
      <w:r>
        <w:rPr>
          <w:b/>
          <w:color w:val="33415C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 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Sawaed Al Bina Contracting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CR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2050117342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Project: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P1 Eastern Corridor Logistics Hub — Package B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Certificate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IPC-14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Work up to: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31/05/2026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Certified on: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21/06/2026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Cumulative work done: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141,682,000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Gross this certificate: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14,872,000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Retention deducted: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1,487,000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Advance recovery: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1,487,000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Net amount payable: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11,898,000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Cumulative retention: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14,167,000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Due 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16/08/2026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45"/>
        <w:gridCol w:w="2976"/>
      </w:tblGrid>
      <w:tr>
        <w:tc>
          <w:tcPr>
            <w:tcW w:type="dxa" w:w="6945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Item</w:t>
            </w:r>
          </w:p>
        </w:tc>
        <w:tc>
          <w:tcPr>
            <w:tcW w:type="dxa" w:w="297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SAR</w:t>
            </w:r>
          </w:p>
        </w:tc>
      </w:tr>
      <w:tr>
        <w:tc>
          <w:tcPr>
            <w:tcW w:type="dxa" w:w="6945"/>
          </w:tcPr>
          <w:p>
            <w:pPr>
              <w:spacing w:after="0"/>
            </w:pPr>
            <w:r>
              <w:rPr>
                <w:sz w:val="17"/>
              </w:rPr>
              <w:t>Cumulative work done (gross)</w:t>
            </w:r>
          </w:p>
        </w:tc>
        <w:tc>
          <w:tcPr>
            <w:tcW w:type="dxa" w:w="2976"/>
          </w:tcPr>
          <w:p>
            <w:pPr>
              <w:spacing w:after="0"/>
              <w:jc w:val="right"/>
            </w:pPr>
            <w:r>
              <w:rPr>
                <w:sz w:val="17"/>
              </w:rPr>
              <w:t>141,682,000</w:t>
            </w:r>
          </w:p>
        </w:tc>
      </w:tr>
      <w:tr>
        <w:tc>
          <w:tcPr>
            <w:tcW w:type="dxa" w:w="6945"/>
          </w:tcPr>
          <w:p>
            <w:pPr>
              <w:spacing w:after="0"/>
            </w:pPr>
            <w:r>
              <w:rPr>
                <w:sz w:val="17"/>
              </w:rPr>
              <w:t>Less: previously certified</w:t>
            </w:r>
          </w:p>
        </w:tc>
        <w:tc>
          <w:tcPr>
            <w:tcW w:type="dxa" w:w="2976"/>
          </w:tcPr>
          <w:p>
            <w:pPr>
              <w:spacing w:after="0"/>
              <w:jc w:val="right"/>
            </w:pPr>
            <w:r>
              <w:rPr>
                <w:sz w:val="17"/>
              </w:rPr>
              <w:t>126,810,000</w:t>
            </w:r>
          </w:p>
        </w:tc>
      </w:tr>
      <w:tr>
        <w:tc>
          <w:tcPr>
            <w:tcW w:type="dxa" w:w="6945"/>
          </w:tcPr>
          <w:p>
            <w:pPr>
              <w:spacing w:after="0"/>
            </w:pPr>
            <w:r>
              <w:rPr>
                <w:sz w:val="17"/>
              </w:rPr>
              <w:t>Gross this certificate</w:t>
            </w:r>
          </w:p>
        </w:tc>
        <w:tc>
          <w:tcPr>
            <w:tcW w:type="dxa" w:w="2976"/>
          </w:tcPr>
          <w:p>
            <w:pPr>
              <w:spacing w:after="0"/>
              <w:jc w:val="right"/>
            </w:pPr>
            <w:r>
              <w:rPr>
                <w:sz w:val="17"/>
              </w:rPr>
              <w:t>14,872,000</w:t>
            </w:r>
          </w:p>
        </w:tc>
      </w:tr>
      <w:tr>
        <w:tc>
          <w:tcPr>
            <w:tcW w:type="dxa" w:w="6945"/>
          </w:tcPr>
          <w:p>
            <w:pPr>
              <w:spacing w:after="0"/>
            </w:pPr>
            <w:r>
              <w:rPr>
                <w:sz w:val="17"/>
              </w:rPr>
              <w:t>Less: retention (10%)</w:t>
            </w:r>
          </w:p>
        </w:tc>
        <w:tc>
          <w:tcPr>
            <w:tcW w:type="dxa" w:w="2976"/>
          </w:tcPr>
          <w:p>
            <w:pPr>
              <w:spacing w:after="0"/>
              <w:jc w:val="right"/>
            </w:pPr>
            <w:r>
              <w:rPr>
                <w:sz w:val="17"/>
              </w:rPr>
              <w:t>1,487,000</w:t>
            </w:r>
          </w:p>
        </w:tc>
      </w:tr>
      <w:tr>
        <w:tc>
          <w:tcPr>
            <w:tcW w:type="dxa" w:w="6945"/>
          </w:tcPr>
          <w:p>
            <w:pPr>
              <w:spacing w:after="0"/>
            </w:pPr>
            <w:r>
              <w:rPr>
                <w:sz w:val="17"/>
              </w:rPr>
              <w:t>Less: advance recovery</w:t>
            </w:r>
          </w:p>
        </w:tc>
        <w:tc>
          <w:tcPr>
            <w:tcW w:type="dxa" w:w="2976"/>
          </w:tcPr>
          <w:p>
            <w:pPr>
              <w:spacing w:after="0"/>
              <w:jc w:val="right"/>
            </w:pPr>
            <w:r>
              <w:rPr>
                <w:sz w:val="17"/>
              </w:rPr>
              <w:t>1,487,000</w:t>
            </w:r>
          </w:p>
        </w:tc>
      </w:tr>
      <w:tr>
        <w:tc>
          <w:tcPr>
            <w:tcW w:type="dxa" w:w="6945"/>
          </w:tcPr>
          <w:p>
            <w:pPr>
              <w:spacing w:after="0"/>
            </w:pPr>
            <w:r>
              <w:rPr>
                <w:sz w:val="17"/>
              </w:rPr>
              <w:t>Net amount payable</w:t>
            </w:r>
          </w:p>
        </w:tc>
        <w:tc>
          <w:tcPr>
            <w:tcW w:type="dxa" w:w="2976"/>
          </w:tcPr>
          <w:p>
            <w:pPr>
              <w:spacing w:after="0"/>
              <w:jc w:val="right"/>
            </w:pPr>
            <w:r>
              <w:rPr>
                <w:sz w:val="17"/>
              </w:rPr>
              <w:t>11,898,000</w:t>
            </w:r>
          </w:p>
        </w:tc>
      </w:tr>
    </w:tbl>
    <w:p/>
    <w:p>
      <w:r>
        <w:t>Payable within 56 days of certification, i.e. by 16/08/2026. Cumulative retention held: SAR 14,167,000.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</w:tcPr>
          <w:p>
            <w:r>
              <w:br/>
              <w:br/>
              <w:t>______________________</w:t>
              <w:br/>
              <w:t>Eng. Waleed Mansour</w:t>
              <w:br/>
              <w:t>The Engineer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33415C"/>
        <w:sz w:val="24"/>
      </w:rPr>
      <w:t>Dar Al Mimar Engineering Consultants</w:t>
    </w:r>
  </w:p>
  <w:p>
    <w:r>
      <w:rPr>
        <w:sz w:val="15"/>
      </w:rPr>
      <w:t>Engineer for Sharqiya Logistics Development Co. (SLDC)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INTERIM PAYMENT CERTIFICATE</dc:title>
  <dc:subject/>
  <dc:creator>Dar Al Mimar Engineering Consultants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