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4A4A4A"/>
          <w:sz w:val="30"/>
        </w:rPr>
        <w:t>AML / KYC QUESTIONNAIRE</w:t>
      </w:r>
    </w:p>
    <w:p>
      <w:pPr>
        <w:spacing w:before="160"/>
      </w:pPr>
      <w:r>
        <w:rPr>
          <w:b/>
          <w:color w:val="4A4A4A"/>
          <w:sz w:val="22"/>
        </w:rPr>
        <w:t>Key details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6973"/>
      </w:tblGrid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Customer name: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Sawaed Al Bina Contracting Co.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CR number: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2050117342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Completed on: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04/10/2026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Politically exposed person: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Countries of trade: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KSA only (imports of MEP equipment from UAE, Italy, China)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Cash-intensive business: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Customer risk rating: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Medium</w:t>
            </w:r>
          </w:p>
        </w:tc>
      </w:tr>
    </w:tbl>
    <w:p>
      <w:pPr>
        <w:spacing w:before="160"/>
      </w:pPr>
      <w:r>
        <w:rPr>
          <w:b/>
          <w:color w:val="4A4A4A"/>
          <w:sz w:val="22"/>
        </w:rPr>
        <w:t>Ultimate beneficial owners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2480"/>
        <w:gridCol w:w="2480"/>
      </w:tblGrid>
      <w:tr>
        <w:tc>
          <w:tcPr>
            <w:tcW w:type="dxa" w:w="4961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Name</w:t>
            </w:r>
          </w:p>
        </w:tc>
        <w:tc>
          <w:tcPr>
            <w:tcW w:type="dxa" w:w="2480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Ownership</w:t>
            </w:r>
          </w:p>
        </w:tc>
        <w:tc>
          <w:tcPr>
            <w:tcW w:type="dxa" w:w="2480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PEP</w:t>
            </w:r>
          </w:p>
        </w:tc>
      </w:tr>
      <w:tr>
        <w:tc>
          <w:tcPr>
            <w:tcW w:type="dxa" w:w="4961"/>
          </w:tcPr>
          <w:p>
            <w:pPr>
              <w:spacing w:after="0"/>
            </w:pPr>
            <w:r>
              <w:rPr>
                <w:sz w:val="17"/>
              </w:rPr>
              <w:t>Turki Hamad Al-Sawaed</w:t>
            </w:r>
          </w:p>
        </w:tc>
        <w:tc>
          <w:tcPr>
            <w:tcW w:type="dxa" w:w="2480"/>
          </w:tcPr>
          <w:p>
            <w:pPr>
              <w:spacing w:after="0"/>
              <w:jc w:val="right"/>
            </w:pPr>
            <w:r>
              <w:rPr>
                <w:sz w:val="17"/>
              </w:rPr>
              <w:t>65.0%</w:t>
            </w:r>
          </w:p>
        </w:tc>
        <w:tc>
          <w:tcPr>
            <w:tcW w:type="dxa" w:w="2480"/>
          </w:tcPr>
          <w:p>
            <w:pPr>
              <w:spacing w:after="0"/>
            </w:pPr>
            <w:r>
              <w:rPr>
                <w:sz w:val="17"/>
              </w:rPr>
              <w:t>No</w:t>
            </w:r>
          </w:p>
        </w:tc>
      </w:tr>
      <w:tr>
        <w:tc>
          <w:tcPr>
            <w:tcW w:type="dxa" w:w="4961"/>
          </w:tcPr>
          <w:p>
            <w:pPr>
              <w:spacing w:after="0"/>
            </w:pPr>
            <w:r>
              <w:rPr>
                <w:sz w:val="17"/>
              </w:rPr>
              <w:t>Nasser Hamad Al-Sawaed</w:t>
            </w:r>
          </w:p>
        </w:tc>
        <w:tc>
          <w:tcPr>
            <w:tcW w:type="dxa" w:w="2480"/>
          </w:tcPr>
          <w:p>
            <w:pPr>
              <w:spacing w:after="0"/>
              <w:jc w:val="right"/>
            </w:pPr>
            <w:r>
              <w:rPr>
                <w:sz w:val="17"/>
              </w:rPr>
              <w:t>35.0%</w:t>
            </w:r>
          </w:p>
        </w:tc>
        <w:tc>
          <w:tcPr>
            <w:tcW w:type="dxa" w:w="2480"/>
          </w:tcPr>
          <w:p>
            <w:pPr>
              <w:spacing w:after="0"/>
            </w:pPr>
            <w:r>
              <w:rPr>
                <w:sz w:val="17"/>
              </w:rPr>
              <w:t>No</w:t>
            </w:r>
          </w:p>
        </w:tc>
      </w:tr>
    </w:tbl>
    <w:p/>
    <w:p>
      <w:r>
        <w:t>Related entities: Sawaed Heavy Equipment Rental Co. (100% Nasser Hamad Al-Sawaed), Sawaed Real Estate Co. (100% Turki Hamad Al-Sawaed).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</w:tcPr>
          <w:p>
            <w:r>
              <w:br/>
              <w:br/>
              <w:t>______________________</w:t>
              <w:br/>
              <w:t>Turki Hamad Al-Sawaed</w:t>
              <w:br/>
              <w:t>Authorised signatory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777777"/>
        <w:sz w:val="14"/>
      </w:rPr>
      <w:t>Fictional document (CreditProbe R16). All names and figures are invented.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4A4A4A"/>
        <w:sz w:val="24"/>
      </w:rPr>
      <w:t>Sandstone Harbour Bank</w:t>
    </w:r>
  </w:p>
  <w:p>
    <w:r>
      <w:rPr>
        <w:sz w:val="15"/>
      </w:rPr>
      <w:t>Compliance · customer due diligence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AML / KYC QUESTIONNAIRE</dc:title>
  <dc:subject/>
  <dc:creator>Sandstone Harbour Bank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