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3557"/>
          <w:sz w:val="30"/>
        </w:rPr>
        <w:t>CREDIT PROPOSAL — REFERENCE (BUSINESS REQUEST, CREDIT COMMENTS, RECOMMENDATION)</w:t>
      </w:r>
    </w:p>
    <w:p>
      <w:r>
        <w:t>Nukhba Polymer Industries Co. · New (takeover)</w:t>
      </w:r>
    </w:p>
    <w:p>
      <w:r>
        <w:rPr>
          <w:sz w:val="16"/>
        </w:rPr>
        <w:t>Date 15/10/2026 · RM Abeer Al-Omari</w:t>
      </w:r>
    </w:p>
    <w:p>
      <w:pPr>
        <w:spacing w:before="160"/>
      </w:pPr>
      <w:r>
        <w:rPr>
          <w:b/>
          <w:color w:val="1D3557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Unit / branch: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Corporate Banking — Eastern Province / Jubail Branch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CIF / base no.: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New to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Group: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— (—)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account opened: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Related / connected party: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AO / RO: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Abeer Al-Omari / Hisham Al-Qahtani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Purpose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TO-02 Takeover of facilities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Request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New (takeover)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Review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31/10/2027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Industry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C2220 — Manufacture of plastics products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Collateral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MC — Charge over machinery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Rating (existing / proposed):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— / BB-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</w:tbl>
    <w:p>
      <w:pPr>
        <w:spacing w:before="160"/>
      </w:pPr>
      <w:r>
        <w:rPr>
          <w:b/>
          <w:color w:val="1D3557"/>
          <w:sz w:val="22"/>
        </w:rPr>
        <w:t>1. Action requested</w:t>
      </w:r>
    </w:p>
    <w:p>
      <w:r>
        <w:t>Approve new facilities of SAR 157.0m to Nukhba Polymer Industries Co. (new to bank) to take over its facilities with Coastal Gulf Bank (outstanding SAR 134.0m at 30/09/2026): term loan SAR 72.0m (48 months), short-term Murabaha SAR 45.0m and letters of credit SAR 40.0m, priced at 3M SAIBOR + 1.25% (floor 5.25%). Funded SAR 117.0m; the LG line of SAR 15.0m at Tihama Investment Bank stays there.</w:t>
      </w:r>
    </w:p>
    <w:p>
      <w:pPr>
        <w:spacing w:before="160"/>
      </w:pPr>
      <w:r>
        <w:rPr>
          <w:b/>
          <w:color w:val="1D3557"/>
          <w:sz w:val="22"/>
        </w:rPr>
        <w:t>2.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9"/>
        <w:gridCol w:w="843"/>
        <w:gridCol w:w="1191"/>
        <w:gridCol w:w="943"/>
        <w:gridCol w:w="843"/>
        <w:gridCol w:w="3423"/>
      </w:tblGrid>
      <w:tr>
        <w:tc>
          <w:tcPr>
            <w:tcW w:type="dxa" w:w="267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 (SAR m)</w:t>
            </w:r>
          </w:p>
        </w:tc>
        <w:tc>
          <w:tcPr>
            <w:tcW w:type="dxa" w:w="8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Existing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9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Proposed</w:t>
            </w:r>
          </w:p>
        </w:tc>
        <w:tc>
          <w:tcPr>
            <w:tcW w:type="dxa" w:w="8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Cash margin</w:t>
            </w:r>
          </w:p>
        </w:tc>
        <w:tc>
          <w:tcPr>
            <w:tcW w:type="dxa" w:w="342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Particulars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Term loan (takeover of Coastal Gulf Bank)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72.0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3M SAIBOR + 1.25%, floor 5.25%; 48 months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Short-term Murabaha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45.0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3M SAIBOR + 1.25%, floor 5.25%; Up to 180 days per draw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Letters of credit (sight / usance 120 days)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40.0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0.20% p.q.; Usance up to 120 days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Total facilities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157.0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Arrangement fee 0.50% on the term loan (SAR 360,000); study and documentation fee SAR 25,000.</w:t>
      </w:r>
    </w:p>
    <w:p>
      <w:pPr>
        <w:spacing w:before="160"/>
      </w:pPr>
      <w:r>
        <w:rPr>
          <w:b/>
          <w:color w:val="1D3557"/>
          <w:sz w:val="22"/>
        </w:rPr>
        <w:t>3. Security and support</w:t>
      </w:r>
    </w:p>
    <w:p>
      <w:pPr>
        <w:pStyle w:val="ListBullet"/>
      </w:pPr>
      <w:r>
        <w:t>All limits: first-ranking charge over the machinery (market value SAR 162.0m, FSV SAR 105.0m, valuation 22/07/2026), to be released by Coastal Gulf Bank on takeover and registered to the Bank within 30 days of disbursement.</w:t>
      </w:r>
    </w:p>
    <w:p>
      <w:pPr>
        <w:pStyle w:val="ListBullet"/>
      </w:pPr>
      <w:r>
        <w:t>All limits: personal guarantee of Saleh Ibrahim Al-Mansour (60%; net worth SAR 105.2m as per statement of 31/07/2026).</w:t>
      </w:r>
    </w:p>
    <w:p>
      <w:pPr>
        <w:pStyle w:val="ListBullet"/>
      </w:pPr>
      <w:r>
        <w:t>All limits: promissory note SAR 157.0m signed by the authorised signatory.</w:t>
      </w:r>
    </w:p>
    <w:p>
      <w:pPr>
        <w:pStyle w:val="ListBullet"/>
      </w:pPr>
      <w:r>
        <w:t>Term loan: assignment of the machinery insurance (sum insured SAR 175.0m) with the Bank as loss payee.</w:t>
      </w:r>
    </w:p>
    <w:p>
      <w:pPr>
        <w:pStyle w:val="ListBullet"/>
      </w:pPr>
      <w:r>
        <w:t>LCs: title documents to order of the Bank; 10% cash margin.</w:t>
      </w:r>
    </w:p>
    <w:p>
      <w:pPr>
        <w:spacing w:before="160"/>
      </w:pPr>
      <w:r>
        <w:rPr>
          <w:b/>
          <w:color w:val="1D3557"/>
          <w:sz w:val="22"/>
        </w:rPr>
        <w:t>4. Terms and conditions</w:t>
      </w:r>
    </w:p>
    <w:p>
      <w:pPr>
        <w:spacing w:after="40"/>
        <w:ind w:left="340" w:hanging="283"/>
      </w:pPr>
      <w:r>
        <w:t>1. Term loan disbursed only to the current bank against its payoff letter and the release of its charge; no part to the customer.</w:t>
      </w:r>
    </w:p>
    <w:p>
      <w:pPr>
        <w:spacing w:after="40"/>
        <w:ind w:left="340" w:hanging="283"/>
      </w:pPr>
      <w:r>
        <w:t>2. Murabaha draws against supplier invoices for resin and masterbatch; maximum tenor 180 days per draw.</w:t>
      </w:r>
    </w:p>
    <w:p>
      <w:pPr>
        <w:spacing w:after="40"/>
        <w:ind w:left="340" w:hanging="283"/>
      </w:pPr>
      <w:r>
        <w:t>3. LCs for PET resin and masterbatch imports only; usance settled from own funds or Murabaha.</w:t>
      </w:r>
    </w:p>
    <w:p>
      <w:pPr>
        <w:spacing w:after="40"/>
        <w:ind w:left="340" w:hanging="283"/>
      </w:pPr>
      <w:r>
        <w:t>4. Route not less than 70% of turnover (about SAR 220m a year, 12-month statement credits SAR 312.7m) through the Bank within 6 months.</w:t>
      </w:r>
    </w:p>
    <w:p>
      <w:pPr>
        <w:spacing w:after="40"/>
        <w:ind w:left="340" w:hanging="283"/>
      </w:pPr>
      <w:r>
        <w:t>5. Financial covenant: DSCR not below 1.20x, tested on audited accounts.</w:t>
      </w:r>
    </w:p>
    <w:p>
      <w:pPr>
        <w:spacing w:after="40"/>
        <w:ind w:left="340" w:hanging="283"/>
      </w:pPr>
      <w:r>
        <w:t>6. Audited financial statements within 120 days of year end; quarterly management accounts within 45 days.</w:t>
      </w:r>
    </w:p>
    <w:p>
      <w:pPr>
        <w:spacing w:before="160"/>
      </w:pPr>
      <w:r>
        <w:rPr>
          <w:b/>
          <w:color w:val="1D3557"/>
          <w:sz w:val="22"/>
        </w:rPr>
        <w:t>5. Group exposure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389"/>
        <w:gridCol w:w="1389"/>
        <w:gridCol w:w="1389"/>
        <w:gridCol w:w="1389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Funded existing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 existing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Funded proposed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 proposed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Nukhba Polymer Industries Co. (no group entities)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117.0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157.0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Group total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117.0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157.0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</w:tr>
    </w:tbl>
    <w:p/>
    <w:p>
      <w:r>
        <w:t>References: credit file request CFR/EP/2026/0402 (15/10/2026); customer's letter NPI/CEO/2026/41 (08/10/2026); partners' resolution PR-2026-05 (07/10/2026, borrowing up to SAR 180.0m).</w:t>
      </w:r>
    </w:p>
    <w:p>
      <w:pPr>
        <w:spacing w:before="160"/>
      </w:pPr>
      <w:r>
        <w:rPr>
          <w:b/>
          <w:color w:val="1D3557"/>
          <w:sz w:val="22"/>
        </w:rPr>
        <w:t>6. Background</w:t>
      </w:r>
    </w:p>
    <w:p>
      <w:r>
        <w:t>Nukhba Polymer Industries Co. (CR 2055104486, Jubail, CR valid to 01/09/2027), LLC incorporated 04/09/2011, capital SAR 100.0m (raised from SAR 60.0m on 12/05/2019 for the PET preform line). Saleh Ibrahim Al-Mansour 60%, Khalid Ibrahim Al-Mansour 40%; no group entities.</w:t>
      </w:r>
    </w:p>
    <w:p>
      <w:r>
        <w:t>Manufactures PET preforms, HDPE drums and jerrycans and stretch films on 12 lines (6 PET, 4 blow-moulding, 2 film); 386 staff (Nitaqat Medium Green, 26.9% vs 23.0%). Exports 24% to GCC (2024: 26%) (Note 9).</w:t>
      </w:r>
    </w:p>
    <w:p>
      <w:r>
        <w:t>Sales terms as per business: Gulf Beverage Bottling 22.0% (60 days), Eastern Dairy Foods 14.0% (45 days), 14 GCC customers 24.0% (60-90 days, LC / open account), 96 local customers 40.0% (30-60 days). Purchases: Orient Polymers Trading FZE (UAE) 38.2% on LC 120 days usance; Jubail Petrochemical Marketing 23.7% on 30 days.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191"/>
        <w:gridCol w:w="1587"/>
        <w:gridCol w:w="1587"/>
        <w:gridCol w:w="1587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Born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UBO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Saleh Ibrahim Al-Mansour (Chairman and GM)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1964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60.0%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1970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40.0%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</w:tbl>
    <w:p/>
    <w:p>
      <w:pPr>
        <w:spacing w:before="160"/>
      </w:pPr>
      <w:r>
        <w:rPr>
          <w:b/>
          <w:color w:val="1D3557"/>
          <w:sz w:val="22"/>
        </w:rPr>
        <w:t>7. Relationship with the Bank</w:t>
      </w:r>
    </w:p>
    <w:p>
      <w:r>
        <w:t>New to bank; account to be opened on approval. Banks with Coastal Gulf Bank since 04/2021 (limits SAR 190.0m, outstanding SAR 134.0m at 30/09/2026) and Tihama Investment Bank since 02/2022 (LGs SAR 15.0m, outstanding SAR 9.2m).</w:t>
      </w:r>
    </w:p>
    <w:p>
      <w:r>
        <w:t>Statements Oct 2025 – Sep 2026: Coastal Gulf Bank credits SAR 256.4m, Tihama Investment Bank SAR 56.3m; no returned cheques. The customer approached the Bank on pricing grounds (as per business).</w:t>
      </w:r>
    </w:p>
    <w:p>
      <w:pPr>
        <w:spacing w:before="160"/>
      </w:pPr>
      <w:r>
        <w:rPr>
          <w:b/>
          <w:color w:val="1D3557"/>
          <w:sz w:val="22"/>
        </w:rPr>
        <w:t>8. Financials (as per audited and in-house statements)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1984"/>
        <w:gridCol w:w="1984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 m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318.2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296.4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214.1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 growth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5.5%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-6.9%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48.0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39.1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27.1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15.1%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13.2%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12.7%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27.6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18.2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11.5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15.0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4.7%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1.6%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EBITDA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49.4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40.8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28.6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360.4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341.8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330.1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short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90.0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102.3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98.0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long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64.0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32.0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36.0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worth (TNW)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131.9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136.7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138.6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Leverage (TL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1.73x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1.50x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1.38x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Gearing (bank debt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1.17x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0.98x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0.97x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-25.2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-40.6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-21.3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Current ratio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0.84x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0.75x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0.85x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cash flow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34.8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28.1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2.3</w:t>
            </w:r>
          </w:p>
        </w:tc>
      </w:tr>
    </w:tbl>
    <w:p/>
    <w:p>
      <w:r>
        <w:t>Auditor: FY2024 Rawasi Audit &amp; Advisory, unqualified (signed 20/04/2025); FY2025 Rawasi Audit &amp; Advisory, unqualified (signed 15/04/2026). 9M2026 in-house, prepared by Fadi Nabil Haddad (unaudited).</w:t>
      </w:r>
    </w:p>
    <w:p>
      <w:pPr>
        <w:spacing w:before="160"/>
      </w:pPr>
      <w:r>
        <w:rPr>
          <w:b/>
          <w:color w:val="1D3557"/>
          <w:sz w:val="22"/>
        </w:rPr>
        <w:t>9. RM's justification</w:t>
      </w:r>
    </w:p>
    <w:p>
      <w:r>
        <w:t>Jubail manufacturer since 2011 with revenue SAR 296.4m (FY2025), machinery valued at SAR 162.0m (average age 6.5 years) and two beverage and dairy customers at 36% of sales.</w:t>
      </w:r>
    </w:p>
    <w:p>
      <w:r>
        <w:t>The takeover brings payroll for 386 staff, resin imports (SAR 98.4m from one supplier on LC) and export proceeds (24% of sales).</w:t>
      </w:r>
    </w:p>
    <w:p>
      <w:r>
        <w:t>As per the customer the record with Coastal Gulf Bank has no delays or restructuring and the move is for pricing (2.25% there); we recommend approval at 3M SAIBOR + 1.25%.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Abeer Al-Omari</w:t>
              <w:br/>
              <w:t>Relationship Manager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Khalid Al-Otaibi</w:t>
              <w:br/>
              <w:t>Unit Head, Corporate Banking — Eastern Province</w:t>
            </w:r>
          </w:p>
        </w:tc>
      </w:tr>
    </w:tbl>
    <w:p>
      <w:r>
        <w:br w:type="page"/>
      </w:r>
    </w:p>
    <w:p>
      <w:pPr>
        <w:spacing w:before="160"/>
      </w:pPr>
      <w:r>
        <w:rPr>
          <w:b/>
          <w:color w:val="1D3557"/>
          <w:sz w:val="22"/>
        </w:rPr>
        <w:t>CREDIT DIVISION COMMENTS</w:t>
      </w:r>
    </w:p>
    <w:p>
      <w:r>
        <w:t>Independent review of the business request against the documents on file and the Bank's own records. Figures in SAR million unless stated; prior period in brackets.</w:t>
      </w:r>
    </w:p>
    <w:p>
      <w:pPr>
        <w:spacing w:before="160"/>
      </w:pPr>
      <w:r>
        <w:rPr>
          <w:b/>
          <w:color w:val="1D3557"/>
          <w:sz w:val="22"/>
        </w:rPr>
        <w:t>Bureau and the current bank: undisclosed restructuring</w:t>
      </w:r>
    </w:p>
    <w:p>
      <w:r>
        <w:t>The request states 'an excellent track record with Coastal Gulf Bank with no delays or restructuring'. Upon checking the SIMAH company report (09/10/2026), the Coastal Gulf Bank term loan is reported as 'Restructured': the SAR 8.0m instalment of 31/12/2025 was not paid, 31-60 days past due in 01/2026 and 02/2026, rescheduled on 18/03/2026. The FY2025 audited accounts confirm it (Note 24: four instalments of 31/12/2025 – 30/09/2026, SAR 32.0m, deferred; maturity extended from 31/12/2027 to 30/09/2028), Coastal Gulf Bank's statement of 30/09/2026 shows the new schedule (8 x SAR 9.0m from 31/12/2026) and the guarantor's SIMAH report shows his guarantee of SAR 190.0m as 'Restructured (03/2026)'. The offer letter supplied is dated 12/06/2023, before the rescheduling.</w:t>
      </w:r>
    </w:p>
    <w:p>
      <w:r>
        <w:t>The rescheduling followed a covenant breach: DSCR 0.92x in FY2025 against 1.25x required (FY2024 1.40x; Note 16). Three bureau enquiries in six months (Sandstone Harbour Bank 10/2026, Al Rimal Commercial Bank 07/2026, Arabian Crescent Bank 05/2026) indicate that the customer approached at least two other banks for the same takeover; business did not mention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893"/>
        <w:gridCol w:w="1091"/>
        <w:gridCol w:w="893"/>
        <w:gridCol w:w="794"/>
        <w:gridCol w:w="3274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Bureau (SIMAH, 09/10/2026)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Limits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Overdue</w:t>
            </w:r>
          </w:p>
        </w:tc>
        <w:tc>
          <w:tcPr>
            <w:tcW w:type="dxa" w:w="7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Score</w:t>
            </w:r>
          </w:p>
        </w:tc>
        <w:tc>
          <w:tcPr>
            <w:tcW w:type="dxa" w:w="327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 / remark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Nukhba Polymer Industries Co.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205.0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7"/>
              </w:rPr>
              <w:t>143.2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598</w:t>
            </w:r>
          </w:p>
        </w:tc>
        <w:tc>
          <w:tcPr>
            <w:tcW w:type="dxa" w:w="3274"/>
          </w:tcPr>
          <w:p>
            <w:pPr>
              <w:spacing w:after="0"/>
            </w:pPr>
            <w:r>
              <w:rPr>
                <w:sz w:val="17"/>
              </w:rPr>
              <w:t>CGB term loan restructured 18/03/2026; others current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Saleh Ibrahim Al-Mansour (guarantor)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0.2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7"/>
              </w:rPr>
              <w:t>0.04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702</w:t>
            </w:r>
          </w:p>
        </w:tc>
        <w:tc>
          <w:tcPr>
            <w:tcW w:type="dxa" w:w="3274"/>
          </w:tcPr>
          <w:p>
            <w:pPr>
              <w:spacing w:after="0"/>
            </w:pPr>
            <w:r>
              <w:rPr>
                <w:sz w:val="17"/>
              </w:rPr>
              <w:t>Own current; guarantee SAR 190.0m restructured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2.4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7"/>
              </w:rPr>
              <w:t>1.6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7"/>
              </w:rPr>
              <w:t>736</w:t>
            </w:r>
          </w:p>
        </w:tc>
        <w:tc>
          <w:tcPr>
            <w:tcW w:type="dxa" w:w="3274"/>
          </w:tcPr>
          <w:p>
            <w:pPr>
              <w:spacing w:after="0"/>
            </w:pPr>
            <w:r>
              <w:rPr>
                <w:sz w:val="17"/>
              </w:rPr>
              <w:t>24 of 24 months current; no guarantee offered</w:t>
            </w:r>
          </w:p>
        </w:tc>
      </w:tr>
    </w:tbl>
    <w:p/>
    <w:p>
      <w:pPr>
        <w:spacing w:before="160"/>
      </w:pPr>
      <w:r>
        <w:rPr>
          <w:b/>
          <w:color w:val="1D3557"/>
          <w:sz w:val="22"/>
        </w:rPr>
        <w:t>Other banks'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183"/>
        <w:gridCol w:w="893"/>
        <w:gridCol w:w="1389"/>
        <w:gridCol w:w="1687"/>
        <w:gridCol w:w="1786"/>
      </w:tblGrid>
      <w:tr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Bank (SAR m)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 30/09/2026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Pricing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Maturity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Coastal Gulf Bank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sz w:val="17"/>
              </w:rPr>
              <w:t>Term loan (rescheduled)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120.0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72.0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3M SAIBOR + 2.25%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30/09/2028 (was 31/12/2027)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Coastal Gulf Bank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sz w:val="17"/>
              </w:rPr>
              <w:t>Short-term Murabaha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40.0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38.4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3M SAIBOR + 2.25%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rolling, 180 days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Coastal Gulf Bank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sz w:val="17"/>
              </w:rPr>
              <w:t>LCs incl. acceptances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30.0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23.6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0.30% p.q.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per LC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Tihama Investment Bank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sz w:val="17"/>
              </w:rPr>
              <w:t>Letters of guarantee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15.0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9.2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0.80% p.a.; 15% margin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offer valid to 30/11/2026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218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7"/>
              </w:rPr>
              <w:t>205.0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143.2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Client-declared figures agree with SIMAH and the banks' statements (SAR 143.2m). Not clarified: the Tihama Investment Bank LG line (SAR 15.0m) stays outside the takeover, so total bank lines after approval would be SAR 172.0m; the request is silent on it.</w:t>
      </w:r>
    </w:p>
    <w:p>
      <w:pPr>
        <w:spacing w:before="160"/>
      </w:pPr>
      <w:r>
        <w:rPr>
          <w:b/>
          <w:color w:val="1D3557"/>
          <w:sz w:val="22"/>
        </w:rPr>
        <w:t>Financials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1984"/>
        <w:gridCol w:w="1984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 m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318.2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296.4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214.1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 growth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5.5%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-6.9%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48.0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39.1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27.1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15.1%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13.2%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12.7%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27.6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18.2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11.5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15.0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4.7%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1.6%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EBITDA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49.4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40.8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28.6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360.4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341.8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330.1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short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90.0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102.3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98.0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long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64.0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32.0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36.0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worth (TNW)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131.9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136.7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138.6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Leverage (TL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1.73x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1.50x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1.38x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Gearing (bank debt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1.17x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0.98x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0.97x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-25.2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-40.6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-21.3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Current ratio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0.84x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0.75x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0.85x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cash flow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34.8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28.1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2.3</w:t>
            </w:r>
          </w:p>
        </w:tc>
      </w:tr>
    </w:tbl>
    <w:p/>
    <w:p>
      <w:pPr>
        <w:pStyle w:val="ListBullet"/>
      </w:pPr>
      <w:r>
        <w:t>Revenue fell to SAR 296.4m in FY2025 (PY 318.2m, -6.9%); 9M2026 SAR 214.1m, annualised SAR 285.5m (-3.7%). VAT filings Oct 2025 – Sep 2026 SAR 288.1m (standard and zero-rated) agree with the accounts.</w:t>
      </w:r>
    </w:p>
    <w:p>
      <w:pPr>
        <w:pStyle w:val="ListBullet"/>
      </w:pPr>
      <w:r>
        <w:t>Gross margin 13.2% (PY 15.1%; 9M2026 12.7%): PET resin up 18% in 2025, selling prices lagged (Note 9). Net profit SAR 4.8m (PY 15.0m), SAR 1.9m in 9M2026 (net margin 0.9%); one of six PET lines idle and two shifts instead of three (site visit 14/10/2026).</w:t>
      </w:r>
    </w:p>
    <w:p>
      <w:pPr>
        <w:pStyle w:val="ListBullet"/>
      </w:pPr>
      <w:r>
        <w:t>Current assets SAR 123.1m: receivables 47%, inventory 40%, cash 5%. DSO 72 days (PY 70); inventory 71 days (PY 70). Receivables at 30/09/2026 SAR 57.0m, 90% within 90 days; top 2 customers 40% of receivables.</w:t>
      </w:r>
    </w:p>
    <w:p>
      <w:pPr>
        <w:pStyle w:val="ListBullet"/>
      </w:pPr>
      <w:r>
        <w:t>Current ratio 0.75x (PY 0.84x): short-term Murabaha funds part of the plant. The DSCR breach at 31/12/2025 made the whole term loan callable; the accounts still show SAR 32.0m as non-current. If it is reclassified, current liabilities are SAR 195.7m and the current ratio 0.63x (reported 0.75x); the auditor's opinion is unqualified.</w:t>
      </w:r>
    </w:p>
    <w:p>
      <w:pPr>
        <w:pStyle w:val="ListBullet"/>
      </w:pPr>
      <w:r>
        <w:t>Operating cash flow SAR 28.1m (PY 34.8m) and SAR 2.3m in 9M2026 against EBITDA SAR 28.6m: accruals and other liabilities fell SAR 11.1m and inventory rose SAR 4.6m; not explained by business.</w:t>
      </w:r>
    </w:p>
    <w:p>
      <w:pPr>
        <w:pStyle w:val="ListBullet"/>
      </w:pPr>
      <w:r>
        <w:t>Re-performed debt service (3M SAIBOR assumed at 5.50%): annualised 9M2026 EBITDA SAR 38.1m. On the Coastal Gulf Bank schedule now in force (4 x SAR 9.0m in the next 12 months plus profit on SAR 110.4m) DSCR is 0.86x; under the requested structure (16 x SAR 4.5m over 48 months, SAIBOR + 1.25%) it is 1.50x. The proposed 1.20x covenant is met only because the request stretches a loan already rescheduled once to 30/09/2028 by a further two years: the takeover is, in effect, a second rescheduling.</w:t>
      </w:r>
    </w:p>
    <w:p>
      <w:pPr>
        <w:spacing w:before="160"/>
      </w:pPr>
      <w:r>
        <w:rPr>
          <w:b/>
          <w:color w:val="1D3557"/>
          <w:sz w:val="22"/>
        </w:rPr>
        <w:t>Effects of the current market situation</w:t>
      </w:r>
    </w:p>
    <w:p>
      <w:r>
        <w:t>Purchases from the two resin suppliers (SAR 159.4m in 2025) are 62% of cost of sales; PET resin prices rose 18% in 2025 (Note 9) and the main supplier (38.2% of purchases) is in the UAE on 120-day usance LCs, so shipping delays lengthen the cash cycle. A further 1 point fall in gross margin removes about SAR 3.0m of EBITDA (DSCR on the current schedule 0.79x). Export proceeds (24% of sales) are on 60-90 day terms.</w:t>
      </w:r>
    </w:p>
    <w:p>
      <w:pPr>
        <w:spacing w:before="160"/>
      </w:pPr>
      <w:r>
        <w:rPr>
          <w:b/>
          <w:color w:val="1D3557"/>
          <w:sz w:val="22"/>
        </w:rPr>
        <w:t>Pricing</w:t>
      </w:r>
    </w:p>
    <w:p>
      <w:r>
        <w:t>3M SAIBOR + 1.25% for a borrower that breached its covenant and was restructured on 18/03/2026 is 1.00% below the Coastal Gulf Bank price (2.25%) and below the Bank's grid of 2.50% for a new-to-bank BB- term loan; taking over a restructured facility at a discount transfers the risk without being paid for it.</w:t>
      </w:r>
    </w:p>
    <w:p>
      <w:pPr>
        <w:spacing w:before="160"/>
      </w:pPr>
      <w:r>
        <w:rPr>
          <w:b/>
          <w:color w:val="1D3557"/>
          <w:sz w:val="22"/>
        </w:rPr>
        <w:t>Security</w:t>
      </w:r>
    </w:p>
    <w:p>
      <w:r>
        <w:t>Machinery FSV SAR 105.0m covers 67% of the proposed facilities and 90% of the funded SAR 117.0m. The land is leased (no title deed; the industrial lease and landlord's consent were not provided) and the charge is registered to Coastal Gulf Bank until released. Insurance (SAR 175.0m, to 31/12/2026) names Coastal Gulf Bank as loss payee.</w:t>
      </w:r>
    </w:p>
    <w:p>
      <w:r>
        <w:t>Guarantor net worth SAR 105.2m (31/07/2026), of which SAR 83.2m (79% of his assets) is his 60% of the borrower; outside the borrower SAR 22.0m = 14% of the facilities. Khalid Ibrahim Al-Mansour (40%) offers no guarantee.</w:t>
      </w:r>
    </w:p>
    <w:p>
      <w:pPr>
        <w:spacing w:before="160"/>
      </w:pPr>
      <w:r>
        <w:rPr>
          <w:b/>
          <w:color w:val="1D3557"/>
          <w:sz w:val="22"/>
        </w:rPr>
        <w:t>Exceptions and other observations</w:t>
      </w:r>
    </w:p>
    <w:p>
      <w:pPr>
        <w:pStyle w:val="ListBullet"/>
      </w:pPr>
      <w:r>
        <w:t>Exception: takeover of a facility restructured within the last 24 months (policy: CRO concurrence). Business gives no reason beyond pricing.</w:t>
      </w:r>
    </w:p>
    <w:p>
      <w:pPr>
        <w:pStyle w:val="ListBullet"/>
      </w:pPr>
      <w:r>
        <w:t>Exception: pricing 1.25% below the risk-based grid; business conveys it matches a competing offer, copy not provided.</w:t>
      </w:r>
    </w:p>
    <w:p>
      <w:pPr>
        <w:pStyle w:val="ListBullet"/>
      </w:pPr>
      <w:r>
        <w:t>Exception: tenor of the takeover term loan (48 months) beyond the current maturity of 30/09/2028.</w:t>
      </w:r>
    </w:p>
    <w:p>
      <w:pPr>
        <w:pStyle w:val="ListBullet"/>
      </w:pPr>
      <w:r>
        <w:t>Not provided: industrial lease; payables ageing; Coastal Gulf Bank's rescheduling agreement and current facility letter (the 2023 offer letter was given instead).</w:t>
      </w:r>
    </w:p>
    <w:p>
      <w:pPr>
        <w:pStyle w:val="ListBullet"/>
      </w:pPr>
      <w:r>
        <w:t>Staff: 386 on the Nitaqat certificate, 240 seen on site in two shifts (site visit 14/10/2026); not reconciled.</w:t>
      </w:r>
    </w:p>
    <w:p>
      <w:pPr>
        <w:pStyle w:val="ListBullet"/>
      </w:pPr>
      <w:r>
        <w:t>What business says vs what credit could verify: 'no delays or restructuring' (SIMAH, Note 24, the bank statement and the guarantor's report: restructured 03/2026 after 31-60 DPD); 'moving for pricing' (covenant breached at the current bank; two other banks approached); asked at the site visit (14/10/2026) about the current bank's covenants, management said 'all in order'.</w:t>
      </w:r>
    </w:p>
    <w:p>
      <w:pPr>
        <w:spacing w:before="160"/>
      </w:pPr>
      <w:r>
        <w:rPr>
          <w:b/>
          <w:color w:val="1D3557"/>
          <w:sz w:val="22"/>
        </w:rPr>
        <w:t>Key strengths</w:t>
      </w:r>
    </w:p>
    <w:p>
      <w:pPr>
        <w:pStyle w:val="ListBullet"/>
      </w:pPr>
      <w:r>
        <w:t>Machinery market value SAR 162.0m (FSV 105.0m), average age 6.5 years; plant operating since 2011.</w:t>
      </w:r>
    </w:p>
    <w:p>
      <w:pPr>
        <w:pStyle w:val="ListBullet"/>
      </w:pPr>
      <w:r>
        <w:t>Customer base: 14 GCC export customers (24% of sales) and 96 local customers (40%); top 2 = 36%.</w:t>
      </w:r>
    </w:p>
    <w:p>
      <w:pPr>
        <w:pStyle w:val="ListBullet"/>
      </w:pPr>
      <w:r>
        <w:t>Receivables 90% within 90 days at 30/09/2026; DSO 72 days (FY2025).</w:t>
      </w:r>
    </w:p>
    <w:p>
      <w:pPr>
        <w:pStyle w:val="ListBullet"/>
      </w:pPr>
      <w:r>
        <w:t>Revenue confirmed by 12 months of VAT filings and statement credits.</w:t>
      </w:r>
    </w:p>
    <w:p>
      <w:pPr>
        <w:spacing w:before="160"/>
      </w:pPr>
      <w:r>
        <w:rPr>
          <w:b/>
          <w:color w:val="1D3557"/>
          <w:sz w:val="22"/>
        </w:rPr>
        <w:t>CREDIT DIVISION RECOMMENDATION</w:t>
      </w:r>
    </w:p>
    <w:p>
      <w:r>
        <w:t>Credit division does not support the takeover as proposed. A restructuring not disclosed in the request, a covenant breach (DSCR 0.92x) and a gross margin down 2.4 points do not justify a price below the current bank's or a tenor beyond its rescheduled maturity.</w:t>
      </w:r>
    </w:p>
    <w:p>
      <w:pPr>
        <w:spacing w:after="40"/>
        <w:ind w:left="340" w:hanging="283"/>
      </w:pPr>
      <w:r>
        <w:t>1. Decline the request as proposed (SAR 157.0m at 3M SAIBOR + 1.25%, term loan 48 months).</w:t>
      </w:r>
    </w:p>
    <w:p>
      <w:pPr>
        <w:spacing w:after="40"/>
        <w:ind w:left="340" w:hanging="283"/>
      </w:pPr>
      <w:r>
        <w:t>2. Credit would reconsider a takeover of SAR 132.0m: term loan SAR 72.0m on the rescheduled schedule (8 quarterly instalments of SAR 9.0m to 30/09/2028, no extension), Murabaha SAR 30.0m and LCs SAR 30.0m against 15% margin, at 3M SAIBOR + 2.75% (floor 6.25%), classified 'restructured — watch' for 12 months.</w:t>
      </w:r>
    </w:p>
    <w:p>
      <w:pPr>
        <w:spacing w:after="40"/>
        <w:ind w:left="340" w:hanging="283"/>
      </w:pPr>
      <w:r>
        <w:t>3. Group exposure SAR 132.0m (funded SAR 102.0m); security as proposed plus the guarantee of Khalid Ibrahim Al-Mansour.</w:t>
      </w:r>
    </w:p>
    <w:p>
      <w:pPr>
        <w:spacing w:after="40"/>
        <w:ind w:left="340" w:hanging="283"/>
      </w:pPr>
      <w:r>
        <w:t>4. Approval authority: Credit Committee with CRO concurrence (restructured facility).</w:t>
      </w:r>
    </w:p>
    <w:p>
      <w:r>
        <w:rPr>
          <w:b/>
        </w:rPr>
        <w:t>Additional conditions (prior to limit loading unless stated)</w:t>
      </w:r>
    </w:p>
    <w:p>
      <w:pPr>
        <w:spacing w:after="40"/>
        <w:ind w:left="340" w:hanging="283"/>
      </w:pPr>
      <w:r>
        <w:t>a) Prior to limit loading: Coastal Gulf Bank's rescheduling agreement of 18/03/2026, its current facility letter and a payoff letter with the release of the machinery charge.</w:t>
      </w:r>
    </w:p>
    <w:p>
      <w:pPr>
        <w:spacing w:after="40"/>
        <w:ind w:left="340" w:hanging="283"/>
      </w:pPr>
      <w:r>
        <w:t>b) Prior to limit loading: customer's written explanation of the statement 'no delays or restructuring' in letter NPI/CEO/2026/41.</w:t>
      </w:r>
    </w:p>
    <w:p>
      <w:pPr>
        <w:spacing w:after="40"/>
        <w:ind w:left="340" w:hanging="283"/>
      </w:pPr>
      <w:r>
        <w:t>c) Prior to limit loading: industrial lease and the landlord's consent to the charge; valuation by a Bank panel valuer.</w:t>
      </w:r>
    </w:p>
    <w:p>
      <w:pPr>
        <w:spacing w:after="40"/>
        <w:ind w:left="340" w:hanging="283"/>
      </w:pPr>
      <w:r>
        <w:t>d) Prior to limit loading: cash-flow projection 2027-2029 with resin +10% and price lag stress, showing DSCR not below 1.20x on the schedule above.</w:t>
      </w:r>
    </w:p>
    <w:p>
      <w:pPr>
        <w:spacing w:after="40"/>
        <w:ind w:left="340" w:hanging="283"/>
      </w:pPr>
      <w:r>
        <w:t>e) Prior to limit loading: personal guarantees of both shareholders with net-worth statements not older than 3 months.</w:t>
      </w:r>
    </w:p>
    <w:p>
      <w:pPr>
        <w:spacing w:after="40"/>
        <w:ind w:left="340" w:hanging="283"/>
      </w:pPr>
      <w:r>
        <w:t>f) Within 30 days of disbursement: charge over the machinery registered to the Bank; insurance loss payee changed to the Bank.</w:t>
      </w:r>
    </w:p>
    <w:p>
      <w:pPr>
        <w:spacing w:after="40"/>
        <w:ind w:left="340" w:hanging="283"/>
      </w:pPr>
      <w:r>
        <w:t>g) Monitoring: DSCR and margin tested semi-annually on management accounts; RM to report the PET line utilisation quarterly, reviewed by the regional head.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br/>
              <w:br/>
              <w:t>______________________</w:t>
              <w:br/>
              <w:t>Omar Al-Ghamdi</w:t>
              <w:br/>
              <w:t>Credit Analyst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t>Abdullah Al-Zahrani</w:t>
              <w:br/>
              <w:t>VP Credit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Chief Credit Officer</w:t>
            </w:r>
          </w:p>
        </w:tc>
      </w:tr>
    </w:tbl>
    <w:p>
      <w:r>
        <w:rPr>
          <w:b/>
        </w:rPr>
        <w:t>CRO review / comments</w:t>
      </w:r>
    </w:p>
    <w:p>
      <w:r>
        <w:t xml:space="preserve"> </w:t>
      </w:r>
    </w:p>
    <w:p>
      <w:r>
        <w:rPr>
          <w:b/>
        </w:rPr>
        <w:t>Credit committee approval / instructions</w:t>
      </w:r>
    </w:p>
    <w:p>
      <w:r>
        <w:t>Approval authority: Credit Committee with CRO concurrence.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Chairman, Credit Committee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Member</w:t>
            </w:r>
          </w:p>
        </w:tc>
        <w:tc>
          <w:tcPr>
            <w:tcW w:type="dxa" w:w="3326"/>
          </w:tcPr>
          <w:p>
            <w:r>
              <w:br/>
              <w:br/>
              <w:t>______________________</w:t>
              <w:br/>
              <w:br/>
              <w:t>Member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D3557"/>
        <w:sz w:val="24"/>
      </w:rPr>
      <w:t>Sandstone Harbour Bank</w:t>
    </w:r>
  </w:p>
  <w:p>
    <w:r>
      <w:rPr>
        <w:sz w:val="15"/>
      </w:rPr>
      <w:t>Corporate Banking — Eastern Province · business request to Credit</w:t>
    </w:r>
  </w:p>
  <w:p>
    <w:r>
      <w:rPr>
        <w:sz w:val="15"/>
      </w:rPr>
      <w:t>Credit file request CFR/EP/2026/0402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— REFERENCE (BUSINESS REQUEST, CREDIT COMMENTS, RECOMMENDATION)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